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D7B9EB" w14:textId="4E1A6103" w:rsidR="00042CAC" w:rsidRPr="00D82C73" w:rsidRDefault="00042CAC" w:rsidP="00042CAC">
      <w:pPr>
        <w:autoSpaceDE w:val="0"/>
        <w:autoSpaceDN w:val="0"/>
        <w:adjustRightInd w:val="0"/>
        <w:spacing w:after="0" w:line="240" w:lineRule="auto"/>
        <w:jc w:val="both"/>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monitoringu </w:t>
      </w:r>
      <w:r>
        <w:rPr>
          <w:rFonts w:ascii="Times New Roman" w:hAnsi="Times New Roman" w:cs="Times New Roman"/>
          <w:b/>
          <w:bCs/>
          <w:sz w:val="26"/>
          <w:szCs w:val="26"/>
        </w:rPr>
        <w:t>močiarničky tichej</w:t>
      </w:r>
      <w:r w:rsidRPr="00D82C73">
        <w:rPr>
          <w:rFonts w:ascii="Times New Roman" w:hAnsi="Times New Roman" w:cs="Times New Roman"/>
          <w:b/>
          <w:bCs/>
          <w:sz w:val="26"/>
          <w:szCs w:val="26"/>
        </w:rPr>
        <w:t xml:space="preserve"> (</w:t>
      </w:r>
      <w:r>
        <w:rPr>
          <w:rFonts w:ascii="Times New Roman" w:hAnsi="Times New Roman" w:cs="Times New Roman"/>
          <w:b/>
          <w:bCs/>
          <w:i/>
          <w:iCs/>
          <w:sz w:val="26"/>
          <w:szCs w:val="26"/>
        </w:rPr>
        <w:t>Lymnocryptes minimus</w:t>
      </w:r>
      <w:r w:rsidRPr="00D82C73">
        <w:rPr>
          <w:rFonts w:ascii="Times New Roman" w:hAnsi="Times New Roman" w:cs="Times New Roman"/>
          <w:b/>
          <w:bCs/>
          <w:sz w:val="26"/>
          <w:szCs w:val="26"/>
        </w:rPr>
        <w:t>)</w:t>
      </w:r>
    </w:p>
    <w:p w14:paraId="410460BC" w14:textId="77777777" w:rsidR="00042CAC" w:rsidRDefault="00042CAC" w:rsidP="00042CAC">
      <w:pPr>
        <w:autoSpaceDE w:val="0"/>
        <w:autoSpaceDN w:val="0"/>
        <w:adjustRightInd w:val="0"/>
        <w:spacing w:after="0" w:line="240" w:lineRule="auto"/>
        <w:jc w:val="both"/>
        <w:rPr>
          <w:rFonts w:ascii="Times New Roman" w:hAnsi="Times New Roman" w:cs="Times New Roman"/>
          <w:sz w:val="24"/>
          <w:szCs w:val="24"/>
        </w:rPr>
      </w:pPr>
    </w:p>
    <w:p w14:paraId="5FFFE995" w14:textId="68D4DB8A" w:rsidR="00042CAC" w:rsidRPr="00D82C73" w:rsidRDefault="00042CAC" w:rsidP="00042CAC">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sidR="00F21A0A">
        <w:rPr>
          <w:rFonts w:ascii="Times New Roman" w:hAnsi="Times New Roman" w:cs="Times New Roman"/>
          <w:sz w:val="24"/>
          <w:szCs w:val="24"/>
          <w:u w:val="single"/>
        </w:rPr>
        <w:t>d</w:t>
      </w:r>
      <w:r>
        <w:rPr>
          <w:rFonts w:ascii="Times New Roman" w:hAnsi="Times New Roman" w:cs="Times New Roman"/>
          <w:sz w:val="24"/>
          <w:szCs w:val="24"/>
          <w:u w:val="single"/>
        </w:rPr>
        <w:t>oc. RNDr. Michal Baláž, PhD.</w:t>
      </w:r>
    </w:p>
    <w:p w14:paraId="75ABF113" w14:textId="77777777" w:rsidR="00DE4C4F" w:rsidRDefault="00DE4C4F" w:rsidP="00DE4C4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RNDr. Tomáš Flajs</w:t>
      </w:r>
    </w:p>
    <w:p w14:paraId="604C5B50" w14:textId="77777777" w:rsidR="00DE4C4F" w:rsidRDefault="00DE4C4F" w:rsidP="00DE4C4F">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Ing. Milan Olekšák</w:t>
      </w:r>
    </w:p>
    <w:p w14:paraId="566C1C53" w14:textId="77777777" w:rsidR="00042CAC" w:rsidRDefault="00042CAC" w:rsidP="00042CAC">
      <w:pPr>
        <w:jc w:val="both"/>
      </w:pPr>
    </w:p>
    <w:p w14:paraId="0C877BB0" w14:textId="77777777" w:rsidR="00042CAC" w:rsidRPr="00D82C73" w:rsidRDefault="00042CAC" w:rsidP="00042CAC">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44A0D91E" w14:textId="77777777" w:rsidR="00042CAC" w:rsidRDefault="00042CAC" w:rsidP="00042CAC">
      <w:pPr>
        <w:jc w:val="both"/>
        <w:rPr>
          <w:rFonts w:ascii="Times New Roman" w:hAnsi="Times New Roman" w:cs="Times New Roman"/>
          <w:sz w:val="24"/>
          <w:szCs w:val="24"/>
        </w:rPr>
      </w:pPr>
      <w:r w:rsidRPr="003752A4">
        <w:rPr>
          <w:rFonts w:ascii="Times New Roman" w:hAnsi="Times New Roman" w:cs="Times New Roman"/>
          <w:sz w:val="24"/>
          <w:szCs w:val="24"/>
        </w:rPr>
        <w:t xml:space="preserve">Používa </w:t>
      </w:r>
      <w:r>
        <w:rPr>
          <w:rFonts w:ascii="Times New Roman" w:hAnsi="Times New Roman" w:cs="Times New Roman"/>
          <w:sz w:val="24"/>
          <w:szCs w:val="24"/>
        </w:rPr>
        <w:t xml:space="preserve">sa líniová alebo bodová metóda, podľa charakteru monitorovanej lokality. Vtáky na vodných tokoch sú sčítavané líniovou metódou, pričom sa prechádza po brehu celý vymedzený úsek toku a zaznamenávajú sa všetky zaregistrované jedince druhu. Vtáky na stojatých vodách sú sčítavané z bodu, odkiaľ je bezproblémový výhľad na celú lokalitu. V prípade stojatých vôd s väčšou rozlohou je zvolených viacero bodov tak, aby výhľad z nich umožnil kontrolu celej lokality. </w:t>
      </w:r>
    </w:p>
    <w:p w14:paraId="69B626FE" w14:textId="77777777" w:rsidR="00042CAC" w:rsidRDefault="00042CAC" w:rsidP="00042CAC">
      <w:pPr>
        <w:jc w:val="both"/>
        <w:rPr>
          <w:rFonts w:ascii="Times New Roman" w:hAnsi="Times New Roman" w:cs="Times New Roman"/>
          <w:sz w:val="24"/>
          <w:szCs w:val="24"/>
        </w:rPr>
      </w:pPr>
      <w:r>
        <w:rPr>
          <w:rFonts w:ascii="Times New Roman" w:hAnsi="Times New Roman" w:cs="Times New Roman"/>
          <w:sz w:val="24"/>
          <w:szCs w:val="24"/>
        </w:rPr>
        <w:t xml:space="preserve">V prípade oboch metodických postupov je nutné klásť veľkú pozornosť na zamedzenie opakovaného sčítania tých istých jedincov. </w:t>
      </w:r>
    </w:p>
    <w:p w14:paraId="0DB2AB53" w14:textId="77777777" w:rsidR="00FD5B9D" w:rsidRDefault="00FD5B9D" w:rsidP="00FD5B9D">
      <w:pPr>
        <w:jc w:val="both"/>
        <w:rPr>
          <w:rFonts w:ascii="Times New Roman" w:hAnsi="Times New Roman" w:cs="Times New Roman"/>
          <w:sz w:val="24"/>
          <w:szCs w:val="24"/>
        </w:rPr>
      </w:pPr>
      <w:r>
        <w:rPr>
          <w:rFonts w:ascii="Times New Roman" w:hAnsi="Times New Roman" w:cs="Times New Roman"/>
          <w:sz w:val="24"/>
          <w:szCs w:val="24"/>
        </w:rPr>
        <w:t>Sčítanie prebieha na lokalitách, ktoré boli v minulosti pravidelne sčítavané a kde boli jedince druhu registrované. Je preto potrebné dodržať kontinuitu sčítania aj v nasledujúcich rokoch, ako aj dbať na sčítanie celých lokalít – v rámci hraníc vymedzených koordinátorom.</w:t>
      </w:r>
    </w:p>
    <w:p w14:paraId="09A123D2" w14:textId="77777777" w:rsidR="002B2074" w:rsidRDefault="002B2074" w:rsidP="00042CAC">
      <w:pPr>
        <w:jc w:val="both"/>
        <w:rPr>
          <w:rFonts w:ascii="Times New Roman" w:hAnsi="Times New Roman" w:cs="Times New Roman"/>
          <w:sz w:val="24"/>
          <w:szCs w:val="24"/>
          <w:u w:val="single"/>
        </w:rPr>
      </w:pPr>
    </w:p>
    <w:p w14:paraId="206A960B" w14:textId="6BDC9DDD" w:rsidR="00042CAC" w:rsidRPr="004D5BA1" w:rsidRDefault="00042CAC" w:rsidP="00042CAC">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340AF9CA" w14:textId="77EB5E60" w:rsidR="00042CAC" w:rsidRDefault="00042CAC" w:rsidP="00042CAC">
      <w:pPr>
        <w:jc w:val="both"/>
        <w:rPr>
          <w:rFonts w:ascii="Times New Roman" w:hAnsi="Times New Roman" w:cs="Times New Roman"/>
          <w:sz w:val="24"/>
          <w:szCs w:val="24"/>
        </w:rPr>
      </w:pPr>
      <w:r>
        <w:rPr>
          <w:rFonts w:ascii="Times New Roman" w:hAnsi="Times New Roman" w:cs="Times New Roman"/>
          <w:sz w:val="24"/>
          <w:szCs w:val="24"/>
        </w:rPr>
        <w:t xml:space="preserve">Početnosť močiarničky tichej počas migračného a zimného obdobia sa zisťuje v rámci sčítania všetkých vodných vtákov. Vtáky sa v prípade tečúcich vôd sčítavajú prechádzajúc po brehu. Močiarničky sú vtáky, ktoré sa zdržiavajú skryté vo vegetácii v okolí vôd. Je preto potrebné dbať na zvýšenú pozornosť pri prechádzaní častí lokality, ktoré biotopovo zodpovedajú vhodným prostrediam pre tento druh (blatité, husto zarastené okraje vôd, počas zimy malé nezamŕzajúce jarčeky a pod.). Rovnako na stojatých vodách je možné tento druh zaznamenať len prechádzaním po brehu a sledovaním vhodných častí lokality. </w:t>
      </w:r>
    </w:p>
    <w:p w14:paraId="1B90852F" w14:textId="1F501550" w:rsidR="00042CAC" w:rsidRDefault="00042CAC" w:rsidP="00042CAC">
      <w:pPr>
        <w:jc w:val="both"/>
        <w:rPr>
          <w:rFonts w:ascii="Times New Roman" w:hAnsi="Times New Roman" w:cs="Times New Roman"/>
          <w:sz w:val="24"/>
          <w:szCs w:val="24"/>
        </w:rPr>
      </w:pPr>
      <w:r>
        <w:rPr>
          <w:rFonts w:ascii="Times New Roman" w:hAnsi="Times New Roman" w:cs="Times New Roman"/>
          <w:sz w:val="24"/>
          <w:szCs w:val="24"/>
        </w:rPr>
        <w:t>Močiarničky obvykle vyletujú zo zeme až v tesnej blízkosti pozorovateľa a po krátkom preletu zosadnú. Je preto potrebné rýchle určenie (môže pomôcť aj fotodokumentácia) a nezapočítanie toho istého, opakovane vyplašeného jedinca.</w:t>
      </w:r>
    </w:p>
    <w:p w14:paraId="7DFC75D4" w14:textId="76346AFC" w:rsidR="00042CAC" w:rsidRDefault="00042CAC" w:rsidP="00042CAC">
      <w:pPr>
        <w:jc w:val="both"/>
        <w:rPr>
          <w:rFonts w:ascii="Times New Roman" w:hAnsi="Times New Roman" w:cs="Times New Roman"/>
          <w:sz w:val="24"/>
          <w:szCs w:val="24"/>
        </w:rPr>
      </w:pPr>
      <w:r>
        <w:rPr>
          <w:rFonts w:ascii="Times New Roman" w:hAnsi="Times New Roman" w:cs="Times New Roman"/>
          <w:sz w:val="24"/>
          <w:szCs w:val="24"/>
        </w:rPr>
        <w:t xml:space="preserve">Do výsledkov sa zaznamenávajú len tie jedince, ktoré boli bezpečne určené do druhu. Sčítanie sa odporúča vykonávať za dobrých poveternostných podmienok. Dážď a sneženie môže znižovať prehľadnosť lokality, najmä na rozlohou väčších tokoch a stojatých vodách. Počas hmly sa sčítanie nerealizuje vôbec. </w:t>
      </w:r>
    </w:p>
    <w:p w14:paraId="184ED4A2" w14:textId="77777777" w:rsidR="002B2074" w:rsidRDefault="002B2074" w:rsidP="002B2074">
      <w:pPr>
        <w:jc w:val="both"/>
        <w:rPr>
          <w:rFonts w:ascii="Times New Roman" w:hAnsi="Times New Roman" w:cs="Times New Roman"/>
          <w:sz w:val="24"/>
          <w:szCs w:val="24"/>
        </w:rPr>
      </w:pPr>
      <w:bookmarkStart w:id="0"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23400034" w14:textId="77777777" w:rsidR="002B2074" w:rsidRPr="00D67B29" w:rsidRDefault="002B2074" w:rsidP="002B2074">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0"/>
    <w:p w14:paraId="53F942FA" w14:textId="77777777" w:rsidR="002B2074" w:rsidRDefault="002B2074" w:rsidP="00042CAC">
      <w:pPr>
        <w:jc w:val="both"/>
        <w:rPr>
          <w:rFonts w:ascii="Times New Roman" w:hAnsi="Times New Roman" w:cs="Times New Roman"/>
          <w:sz w:val="24"/>
          <w:szCs w:val="24"/>
        </w:rPr>
      </w:pPr>
    </w:p>
    <w:p w14:paraId="5941367B" w14:textId="77777777" w:rsidR="00042CAC" w:rsidRDefault="00042CAC" w:rsidP="00042CAC">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35D3FF40" w14:textId="66CEA84F" w:rsidR="00042CAC" w:rsidRDefault="00042CAC" w:rsidP="00042CAC">
      <w:pPr>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20F409AD" w14:textId="77777777" w:rsidR="00042CAC" w:rsidRDefault="00042CAC" w:rsidP="00042CAC">
      <w:pPr>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783ACF21" w14:textId="3FB9BAC1" w:rsidR="00042CAC" w:rsidRPr="00963070" w:rsidRDefault="00042CAC" w:rsidP="00042CAC">
      <w:pPr>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fotoaparát </w:t>
      </w:r>
    </w:p>
    <w:p w14:paraId="03290BDE" w14:textId="77777777" w:rsidR="00042CAC" w:rsidRDefault="00042CAC" w:rsidP="00042CAC">
      <w:pPr>
        <w:numPr>
          <w:ilvl w:val="0"/>
          <w:numId w:val="1"/>
        </w:numPr>
        <w:jc w:val="both"/>
        <w:rPr>
          <w:rFonts w:ascii="Times New Roman" w:hAnsi="Times New Roman" w:cs="Times New Roman"/>
          <w:sz w:val="24"/>
          <w:szCs w:val="24"/>
        </w:rPr>
      </w:pPr>
      <w:r>
        <w:rPr>
          <w:rFonts w:ascii="Times New Roman" w:hAnsi="Times New Roman" w:cs="Times New Roman"/>
          <w:sz w:val="24"/>
          <w:szCs w:val="24"/>
        </w:rPr>
        <w:t>GPS (smartfón)</w:t>
      </w:r>
    </w:p>
    <w:p w14:paraId="58B90642" w14:textId="77777777" w:rsidR="00042CAC" w:rsidRDefault="00042CAC" w:rsidP="00042CAC">
      <w:pPr>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 zápisník a ceruzka</w:t>
      </w:r>
    </w:p>
    <w:p w14:paraId="4D31FE2D" w14:textId="77777777" w:rsidR="00042CAC" w:rsidRDefault="00042CAC" w:rsidP="00042CAC">
      <w:pPr>
        <w:numPr>
          <w:ilvl w:val="0"/>
          <w:numId w:val="1"/>
        </w:numPr>
        <w:jc w:val="both"/>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11F0D9EB" w14:textId="77777777" w:rsidR="00042CAC" w:rsidRDefault="00042CAC" w:rsidP="00042CAC">
      <w:pPr>
        <w:jc w:val="both"/>
        <w:rPr>
          <w:rFonts w:ascii="Times New Roman" w:hAnsi="Times New Roman" w:cs="Times New Roman"/>
          <w:sz w:val="24"/>
          <w:szCs w:val="24"/>
        </w:rPr>
      </w:pPr>
    </w:p>
    <w:p w14:paraId="5FE4D07B" w14:textId="77777777" w:rsidR="00042CAC" w:rsidRDefault="00042CAC" w:rsidP="00042CAC">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681EDCCB" w14:textId="77777777" w:rsidR="00042CAC" w:rsidRDefault="00042CAC" w:rsidP="00042CAC">
      <w:pPr>
        <w:jc w:val="both"/>
        <w:rPr>
          <w:rFonts w:ascii="Times New Roman" w:hAnsi="Times New Roman" w:cs="Times New Roman"/>
          <w:sz w:val="24"/>
          <w:szCs w:val="24"/>
        </w:rPr>
      </w:pPr>
      <w:r>
        <w:rPr>
          <w:rFonts w:ascii="Times New Roman" w:hAnsi="Times New Roman" w:cs="Times New Roman"/>
          <w:sz w:val="24"/>
          <w:szCs w:val="24"/>
        </w:rPr>
        <w:t>Monitorovanie vodných vtákov prebieha od októbra do apríla, tak aby bolo zachytené obdobie jarnej aj jesennej migrácie, ako aj obdobie zimovania druhov. Samotné sčítanie je realizované vždy počas víkendu najbližšie k 15. dňu v mesiaci. Výnimkou je január, kedy je, vďaka menším presunom vtákov, možné sčítavať počas týždňa pred a následne aj počas týždňa po víkende najbližšie k 15. januáru. Sčítanie tak prebieha sedemkrát ročne.</w:t>
      </w:r>
    </w:p>
    <w:p w14:paraId="030936FC" w14:textId="77777777" w:rsidR="00042CAC" w:rsidRDefault="00042CAC" w:rsidP="00042CAC">
      <w:pPr>
        <w:jc w:val="both"/>
        <w:rPr>
          <w:rFonts w:ascii="Times New Roman" w:hAnsi="Times New Roman" w:cs="Times New Roman"/>
          <w:sz w:val="24"/>
          <w:szCs w:val="24"/>
        </w:rPr>
      </w:pPr>
      <w:r>
        <w:rPr>
          <w:rFonts w:ascii="Times New Roman" w:hAnsi="Times New Roman" w:cs="Times New Roman"/>
          <w:sz w:val="24"/>
          <w:szCs w:val="24"/>
        </w:rPr>
        <w:t xml:space="preserve">Nakoľko väčšina zimujúcich jedincov druhu je výskytom prísne viazaná na vodné biotopy a opúšťa ich len zriedkavo, nie je načasovanie sčítania počas dňa úplne striktné. Odporúča sa ho však realizovať počas najlepších svetelných podmienok, čo v prípade krátkych dní počas vrcholu zimy na rozlohou väčších lokalitách môže zabrať (takmer) celý deň. Načasovanie sčítania (ani na rozlohou malých lokalitách) do poobedňajších hodín nie je vhodné, nakoľko dobrá svetelnosť sa počas zimy rýchlo stráca. </w:t>
      </w:r>
    </w:p>
    <w:p w14:paraId="138F0FDB" w14:textId="77777777" w:rsidR="00042CAC" w:rsidRDefault="00042CAC" w:rsidP="00042CAC">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p>
    <w:p w14:paraId="726001C6" w14:textId="3CFF753B" w:rsidR="00042CAC" w:rsidRDefault="00042CAC" w:rsidP="00042CAC">
      <w:pPr>
        <w:jc w:val="both"/>
        <w:rPr>
          <w:rFonts w:ascii="Times New Roman" w:hAnsi="Times New Roman" w:cs="Times New Roman"/>
          <w:sz w:val="24"/>
          <w:szCs w:val="24"/>
        </w:rPr>
      </w:pPr>
      <w:r>
        <w:rPr>
          <w:rFonts w:ascii="Times New Roman" w:hAnsi="Times New Roman" w:cs="Times New Roman"/>
          <w:sz w:val="24"/>
          <w:szCs w:val="24"/>
        </w:rPr>
        <w:t>Výber a zakladanie TML zabezpečuje koordinátor monitoringu. Výber TML pre cieľový druh bol pre potreby metodiky navrhnutý na základe výsledkov predchádzajúcich mapovaní v rámci sčítania zimujúceho vodného vtáctva. Sčítanie zimujúceho vodného vtáctva je dlhoročný kontinuálny monitoring zahŕňajúci aj lokality s výskytom močiarničky tichej. Pre potreby aktuálneho mapovania bolo navrhnutých 100 TML, ktoré predstavujú potenciálne vhodné prostredia pre výskyt tohto druhu. 60 navrhnutých TML sa nachádza v CHVÚ (všetky s výnimkou CHVÚ Dolné Pohronie, Lehnice, Sysľovské polia a Špačinsko-nižnianske polia). V rámci navrhnutých TML je 45 charakterom stojatých vôd (vodné diela, nádrže, rybníky, močiare a pod.) a 55 tečúcich vôd situovaných vo všetkých častiach SR</w:t>
      </w:r>
      <w:r w:rsidR="00477A89">
        <w:rPr>
          <w:rFonts w:ascii="Times New Roman" w:hAnsi="Times New Roman" w:cs="Times New Roman"/>
          <w:sz w:val="24"/>
          <w:szCs w:val="24"/>
        </w:rPr>
        <w:t>, pričom v každej geomorfologickej oblasti Slovenska je aspoň jedna TML</w:t>
      </w:r>
      <w:r>
        <w:rPr>
          <w:rFonts w:ascii="Times New Roman" w:hAnsi="Times New Roman" w:cs="Times New Roman"/>
          <w:sz w:val="24"/>
          <w:szCs w:val="24"/>
        </w:rPr>
        <w:t xml:space="preserve">. </w:t>
      </w:r>
    </w:p>
    <w:p w14:paraId="2F412935" w14:textId="776EAB33" w:rsidR="002F3A78" w:rsidRDefault="002F3A78" w:rsidP="00042CAC">
      <w:pPr>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drawing>
          <wp:inline distT="0" distB="0" distL="0" distR="0" wp14:anchorId="6BAAB3B1" wp14:editId="7F7D087E">
            <wp:extent cx="5760720" cy="4074160"/>
            <wp:effectExtent l="0" t="0" r="0" b="254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8_Sčítanie_vodného_vtáctva_na_líniových_alebo_pásových_transektoch.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36E14822" w14:textId="77777777" w:rsidR="002F3A78" w:rsidRDefault="002F3A78" w:rsidP="002F3A78">
      <w:pPr>
        <w:jc w:val="both"/>
        <w:rPr>
          <w:rFonts w:ascii="Times New Roman" w:hAnsi="Times New Roman" w:cs="Times New Roman"/>
          <w:sz w:val="16"/>
          <w:szCs w:val="16"/>
        </w:rPr>
      </w:pPr>
      <w:r>
        <w:rPr>
          <w:rFonts w:ascii="Times New Roman" w:hAnsi="Times New Roman" w:cs="Times New Roman"/>
          <w:sz w:val="16"/>
          <w:szCs w:val="16"/>
        </w:rPr>
        <w:t>Obr. 1. Rozmiestnenie TML pre monitoring vodného vtáctva v mimohniezdnom období.</w:t>
      </w:r>
    </w:p>
    <w:p w14:paraId="5314A710" w14:textId="77777777" w:rsidR="002F3A78" w:rsidRDefault="002F3A78" w:rsidP="00042CAC">
      <w:pPr>
        <w:jc w:val="both"/>
        <w:rPr>
          <w:rFonts w:ascii="Times New Roman" w:hAnsi="Times New Roman" w:cs="Times New Roman"/>
          <w:sz w:val="24"/>
          <w:szCs w:val="24"/>
        </w:rPr>
      </w:pPr>
    </w:p>
    <w:p w14:paraId="68310921" w14:textId="77777777" w:rsidR="00042CAC" w:rsidRPr="004D5BA1" w:rsidRDefault="00042CAC" w:rsidP="00042CAC">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3C382F19" w14:textId="335EFDC8" w:rsidR="00042CAC" w:rsidRDefault="00B53453" w:rsidP="00042CAC">
      <w:pPr>
        <w:jc w:val="both"/>
        <w:rPr>
          <w:rFonts w:ascii="Times New Roman" w:hAnsi="Times New Roman" w:cs="Times New Roman"/>
          <w:sz w:val="24"/>
          <w:szCs w:val="24"/>
        </w:rPr>
      </w:pPr>
      <w:r>
        <w:rPr>
          <w:rFonts w:ascii="Times New Roman" w:hAnsi="Times New Roman" w:cs="Times New Roman"/>
          <w:sz w:val="24"/>
          <w:szCs w:val="24"/>
        </w:rPr>
        <w:t>Močiarnička tichá sa podobá močiarnici mekotavej (</w:t>
      </w:r>
      <w:r>
        <w:rPr>
          <w:rFonts w:ascii="Times New Roman" w:hAnsi="Times New Roman" w:cs="Times New Roman"/>
          <w:i/>
          <w:iCs/>
          <w:sz w:val="24"/>
          <w:szCs w:val="24"/>
        </w:rPr>
        <w:t>Gallinago gallinago</w:t>
      </w:r>
      <w:r>
        <w:rPr>
          <w:rFonts w:ascii="Times New Roman" w:hAnsi="Times New Roman" w:cs="Times New Roman"/>
          <w:sz w:val="24"/>
          <w:szCs w:val="24"/>
        </w:rPr>
        <w:t xml:space="preserve">), ktorá je mierne väčšia a má dlhší (aj v pomere k veľkosti tela) zobák.  </w:t>
      </w:r>
      <w:r w:rsidR="00042CAC">
        <w:rPr>
          <w:rFonts w:ascii="Times New Roman" w:hAnsi="Times New Roman" w:cs="Times New Roman"/>
          <w:sz w:val="24"/>
          <w:szCs w:val="24"/>
        </w:rPr>
        <w:t xml:space="preserve">Močiarnička tichá </w:t>
      </w:r>
      <w:r>
        <w:rPr>
          <w:rFonts w:ascii="Times New Roman" w:hAnsi="Times New Roman" w:cs="Times New Roman"/>
          <w:sz w:val="24"/>
          <w:szCs w:val="24"/>
        </w:rPr>
        <w:t xml:space="preserve">však </w:t>
      </w:r>
      <w:r w:rsidR="00042CAC">
        <w:rPr>
          <w:rFonts w:ascii="Times New Roman" w:hAnsi="Times New Roman" w:cs="Times New Roman"/>
          <w:sz w:val="24"/>
          <w:szCs w:val="24"/>
        </w:rPr>
        <w:t>žije mimoriadne skrytým a nenápadným spôsobom života</w:t>
      </w:r>
      <w:r>
        <w:rPr>
          <w:rFonts w:ascii="Times New Roman" w:hAnsi="Times New Roman" w:cs="Times New Roman"/>
          <w:sz w:val="24"/>
          <w:szCs w:val="24"/>
        </w:rPr>
        <w:t>. Obvykle sa ukáže len chvíľu, kedy vyplašená preletí na iné miesto. Preto aj spôsob preletu je determinačným znakom. Močiarnica väčšinou po vyplašení preletí na väčšiu vzdialenosť a často sa ozýva. Močiarnička je obvykle tichá.</w:t>
      </w:r>
    </w:p>
    <w:p w14:paraId="5E3AAAB6" w14:textId="575C41A6" w:rsidR="003F1D9C" w:rsidRDefault="006B5A97" w:rsidP="00042CAC">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7BEBD2D1" wp14:editId="355F5C03">
            <wp:extent cx="5582260" cy="2385289"/>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12944" cy="2398400"/>
                    </a:xfrm>
                    <a:prstGeom prst="rect">
                      <a:avLst/>
                    </a:prstGeom>
                    <a:noFill/>
                  </pic:spPr>
                </pic:pic>
              </a:graphicData>
            </a:graphic>
          </wp:inline>
        </w:drawing>
      </w:r>
    </w:p>
    <w:p w14:paraId="251BA5C3" w14:textId="0E5D8EE2" w:rsidR="006B5A97" w:rsidRDefault="006B5A97" w:rsidP="006B5A97">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2 (vľavo) močiarnička tichá (foto: </w:t>
      </w:r>
      <w:r w:rsidRPr="006B5A97">
        <w:rPr>
          <w:rFonts w:ascii="Times New Roman" w:hAnsi="Times New Roman" w:cs="Times New Roman"/>
          <w:noProof/>
          <w:sz w:val="16"/>
          <w:szCs w:val="16"/>
        </w:rPr>
        <w:t>Mäenpää</w:t>
      </w:r>
      <w:r>
        <w:rPr>
          <w:rFonts w:ascii="Times New Roman" w:hAnsi="Times New Roman" w:cs="Times New Roman"/>
          <w:noProof/>
          <w:sz w:val="16"/>
          <w:szCs w:val="16"/>
        </w:rPr>
        <w:t xml:space="preserve"> L.), Obr. </w:t>
      </w:r>
      <w:r w:rsidR="002F3A78">
        <w:rPr>
          <w:rFonts w:ascii="Times New Roman" w:hAnsi="Times New Roman" w:cs="Times New Roman"/>
          <w:noProof/>
          <w:sz w:val="16"/>
          <w:szCs w:val="16"/>
        </w:rPr>
        <w:t>3</w:t>
      </w:r>
      <w:r>
        <w:rPr>
          <w:rFonts w:ascii="Times New Roman" w:hAnsi="Times New Roman" w:cs="Times New Roman"/>
          <w:noProof/>
          <w:sz w:val="16"/>
          <w:szCs w:val="16"/>
        </w:rPr>
        <w:t xml:space="preserve"> (vpravo) močiarnica mekotavá (foto: </w:t>
      </w:r>
      <w:r w:rsidRPr="006B5A97">
        <w:rPr>
          <w:rFonts w:ascii="Times New Roman" w:hAnsi="Times New Roman" w:cs="Times New Roman"/>
          <w:noProof/>
          <w:sz w:val="16"/>
          <w:szCs w:val="16"/>
        </w:rPr>
        <w:t>Tenovuo</w:t>
      </w:r>
      <w:r>
        <w:rPr>
          <w:rFonts w:ascii="Times New Roman" w:hAnsi="Times New Roman" w:cs="Times New Roman"/>
          <w:noProof/>
          <w:sz w:val="16"/>
          <w:szCs w:val="16"/>
        </w:rPr>
        <w:t xml:space="preserve"> J.)</w:t>
      </w:r>
    </w:p>
    <w:p w14:paraId="0F82DF15" w14:textId="77777777" w:rsidR="003F1D9C" w:rsidRDefault="003F1D9C" w:rsidP="00042CAC">
      <w:pPr>
        <w:jc w:val="both"/>
        <w:rPr>
          <w:rFonts w:ascii="Times New Roman" w:hAnsi="Times New Roman" w:cs="Times New Roman"/>
          <w:sz w:val="24"/>
          <w:szCs w:val="24"/>
        </w:rPr>
      </w:pPr>
    </w:p>
    <w:p w14:paraId="5273B270" w14:textId="77777777" w:rsidR="00042CAC" w:rsidRDefault="00042CAC" w:rsidP="00042CAC">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3B916328" w14:textId="6B290E74" w:rsidR="00042CAC" w:rsidRDefault="00B53453" w:rsidP="00042CAC">
      <w:pPr>
        <w:jc w:val="both"/>
        <w:rPr>
          <w:rFonts w:ascii="Times New Roman" w:hAnsi="Times New Roman" w:cs="Times New Roman"/>
          <w:sz w:val="24"/>
          <w:szCs w:val="24"/>
        </w:rPr>
      </w:pPr>
      <w:r>
        <w:rPr>
          <w:rFonts w:ascii="Times New Roman" w:hAnsi="Times New Roman" w:cs="Times New Roman"/>
          <w:sz w:val="24"/>
          <w:szCs w:val="24"/>
        </w:rPr>
        <w:t>N</w:t>
      </w:r>
      <w:r w:rsidR="00042CAC">
        <w:rPr>
          <w:rFonts w:ascii="Times New Roman" w:hAnsi="Times New Roman" w:cs="Times New Roman"/>
          <w:sz w:val="24"/>
          <w:szCs w:val="24"/>
        </w:rPr>
        <w:t xml:space="preserve">ajvýznamnejším problémom pri monitorovaní početnosti druhu na zvolených lokalitách </w:t>
      </w:r>
      <w:r>
        <w:rPr>
          <w:rFonts w:ascii="Times New Roman" w:hAnsi="Times New Roman" w:cs="Times New Roman"/>
          <w:sz w:val="24"/>
          <w:szCs w:val="24"/>
        </w:rPr>
        <w:t xml:space="preserve">je veľmi skrytý spôsob jej života. Významná časť pozorovaní predstavuje náhodne vyplašené jedince. Je preto potrebné pozorne prehliadať aspoň tie časti vymedzeného úseku toku (alebo stojatých vôd), ktoré zodpovedajú preferovaným biotopom močiarničky. </w:t>
      </w:r>
    </w:p>
    <w:p w14:paraId="5395C1A8" w14:textId="77777777" w:rsidR="00042CAC" w:rsidRDefault="00042CAC" w:rsidP="00042CAC">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333338DA" w14:textId="77777777" w:rsidR="00042CAC" w:rsidRPr="004C2058" w:rsidRDefault="00042CAC" w:rsidP="00042CA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Sčítavateľ v teréne zaznamenáva všetky registrované jedince sledovaného druhu, ako aj ostatné vodné a na vodu viazané vtáčie druhy. Okrem toho si všíma a do predpísaného formulára zaznamenáva aj niektoré charakteristiky monitorovanej lokality. Je potrebné, aby boli zaznamenané všetky povinné údaje. Pre hodnotenie druhu, ako aj lokality je vhodné, ak mapovateľ na základe vlastného pozorovania vyplní aj nepovinné časti vo formulári. Pri opakovaných návštevách lokality je </w:t>
      </w:r>
      <w:r w:rsidRPr="004C2058">
        <w:rPr>
          <w:rFonts w:ascii="Times New Roman" w:hAnsi="Times New Roman" w:cs="Times New Roman"/>
          <w:sz w:val="24"/>
          <w:szCs w:val="24"/>
        </w:rPr>
        <w:t>vhodné mať pri sebe vytlačený terénny formulár z poslednej realizovanej návštevy na danej TML a do neho si značiť nové/zmenené zistené skutočnosti.</w:t>
      </w:r>
    </w:p>
    <w:p w14:paraId="4F18CF79" w14:textId="77777777" w:rsidR="00042CAC" w:rsidRDefault="00042CAC" w:rsidP="00042CA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softwéru analyzujúce výsledky nazbieraného v databázach. To platí aj pre zhodnotenie negatívnych faktorov či stavbu biotopu, tam kde to je možné. </w:t>
      </w:r>
    </w:p>
    <w:p w14:paraId="6A77DFBA" w14:textId="77777777" w:rsidR="00042CAC" w:rsidRDefault="00042CAC" w:rsidP="00042CAC">
      <w:pPr>
        <w:autoSpaceDE w:val="0"/>
        <w:autoSpaceDN w:val="0"/>
        <w:adjustRightInd w:val="0"/>
        <w:spacing w:after="0" w:line="240" w:lineRule="auto"/>
        <w:jc w:val="both"/>
        <w:rPr>
          <w:rFonts w:ascii="Times New Roman" w:hAnsi="Times New Roman" w:cs="Times New Roman"/>
          <w:sz w:val="24"/>
          <w:szCs w:val="24"/>
        </w:rPr>
      </w:pPr>
    </w:p>
    <w:p w14:paraId="13CEE014" w14:textId="77777777" w:rsidR="00042CAC" w:rsidRDefault="00042CAC" w:rsidP="00042CAC">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02771C43" w14:textId="77777777" w:rsidR="00042CAC" w:rsidRPr="00E57BC9" w:rsidRDefault="00042CAC" w:rsidP="00042CAC">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TML. </w:t>
      </w:r>
    </w:p>
    <w:p w14:paraId="2E83E446" w14:textId="77777777" w:rsidR="00042CAC" w:rsidRDefault="00042CAC" w:rsidP="00042CAC">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14D9122C" w14:textId="77777777" w:rsidR="00042CAC" w:rsidRDefault="00042CAC" w:rsidP="00042CAC">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(Pannekoek &amp; van Strien 2005) alebo RTrim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(medzisezónny posun viac ako 7 dní alebo pol hodiny medzi sčítaniami a pod.).</w:t>
      </w:r>
    </w:p>
    <w:p w14:paraId="4177814D" w14:textId="0201B762" w:rsidR="002B2074" w:rsidRPr="00FE2A05" w:rsidRDefault="002B2074" w:rsidP="002B2074">
      <w:pPr>
        <w:autoSpaceDE w:val="0"/>
        <w:autoSpaceDN w:val="0"/>
        <w:adjustRightInd w:val="0"/>
        <w:spacing w:after="0" w:line="240" w:lineRule="auto"/>
        <w:jc w:val="both"/>
        <w:rPr>
          <w:rFonts w:ascii="Times New Roman" w:hAnsi="Times New Roman" w:cs="Times New Roman"/>
          <w:sz w:val="24"/>
          <w:szCs w:val="24"/>
        </w:rPr>
      </w:pPr>
      <w:r w:rsidRPr="00FE2A05">
        <w:rPr>
          <w:rFonts w:ascii="Times New Roman" w:hAnsi="Times New Roman" w:cs="Times New Roman"/>
          <w:sz w:val="24"/>
          <w:szCs w:val="24"/>
        </w:rPr>
        <w:t>Vyhodnotenie výsledkov monitoringu zabezpečuje koordinátor. Výsledky sa vyhodnocujú samostatne pre</w:t>
      </w:r>
      <w:r>
        <w:rPr>
          <w:rFonts w:ascii="Times New Roman" w:hAnsi="Times New Roman" w:cs="Times New Roman"/>
          <w:sz w:val="24"/>
          <w:szCs w:val="24"/>
        </w:rPr>
        <w:t xml:space="preserve"> obdobie</w:t>
      </w:r>
      <w:r w:rsidRPr="00FE2A05">
        <w:rPr>
          <w:rFonts w:ascii="Times New Roman" w:hAnsi="Times New Roman" w:cs="Times New Roman"/>
          <w:sz w:val="24"/>
          <w:szCs w:val="24"/>
        </w:rPr>
        <w:t xml:space="preserve"> jesenn</w:t>
      </w:r>
      <w:r>
        <w:rPr>
          <w:rFonts w:ascii="Times New Roman" w:hAnsi="Times New Roman" w:cs="Times New Roman"/>
          <w:sz w:val="24"/>
          <w:szCs w:val="24"/>
        </w:rPr>
        <w:t xml:space="preserve">ej a jarnej </w:t>
      </w:r>
      <w:r w:rsidRPr="00FE2A05">
        <w:rPr>
          <w:rFonts w:ascii="Times New Roman" w:hAnsi="Times New Roman" w:cs="Times New Roman"/>
          <w:sz w:val="24"/>
          <w:szCs w:val="24"/>
        </w:rPr>
        <w:t>migráci</w:t>
      </w:r>
      <w:r>
        <w:rPr>
          <w:rFonts w:ascii="Times New Roman" w:hAnsi="Times New Roman" w:cs="Times New Roman"/>
          <w:sz w:val="24"/>
          <w:szCs w:val="24"/>
        </w:rPr>
        <w:t xml:space="preserve">e a zvlášť pre obdobie zimovania (december až február). Pri hodnotení migrujúcich a zimujúcich vtákov sa nehodnotia parametre kvality </w:t>
      </w:r>
      <w:r>
        <w:rPr>
          <w:rFonts w:ascii="Times New Roman" w:hAnsi="Times New Roman" w:cs="Times New Roman"/>
          <w:sz w:val="24"/>
          <w:szCs w:val="24"/>
        </w:rPr>
        <w:lastRenderedPageBreak/>
        <w:t>biotopu,</w:t>
      </w:r>
      <w:r w:rsidRPr="00FE2A05">
        <w:rPr>
          <w:rFonts w:ascii="Times New Roman" w:hAnsi="Times New Roman" w:cs="Times New Roman"/>
          <w:sz w:val="24"/>
          <w:szCs w:val="24"/>
        </w:rPr>
        <w:t xml:space="preserve"> vyhliadok do budúcnosti ani kvality populácie. Monitoring je teda zameraný hlavne na prezenciu/absenciu a na zaznamenanú početnosť v jednotlivých sezónach a rokoch. Koordinátor monitoringu preto vyhodnotí výsledky každoročne, v ktorých sumarizuje získané údaje z jednotlivých TML. Dôležitá je zaznamenaná početnosť </w:t>
      </w:r>
      <w:r w:rsidRPr="002B2074">
        <w:rPr>
          <w:rFonts w:ascii="Times New Roman" w:hAnsi="Times New Roman" w:cs="Times New Roman"/>
          <w:sz w:val="24"/>
          <w:szCs w:val="24"/>
        </w:rPr>
        <w:t xml:space="preserve">močiarničiek </w:t>
      </w:r>
      <w:r>
        <w:rPr>
          <w:rFonts w:ascii="Times New Roman" w:hAnsi="Times New Roman" w:cs="Times New Roman"/>
          <w:sz w:val="24"/>
          <w:szCs w:val="24"/>
        </w:rPr>
        <w:t>počas obdobia migrácie a zimovania</w:t>
      </w:r>
      <w:r w:rsidRPr="00FE2A05">
        <w:rPr>
          <w:rFonts w:ascii="Times New Roman" w:hAnsi="Times New Roman" w:cs="Times New Roman"/>
          <w:sz w:val="24"/>
          <w:szCs w:val="24"/>
        </w:rPr>
        <w:t>, avšak koordinátor vyhodnotí početnosť aj ostatných zaznamenaných druhov. Koordinátor taktiež spracuje každý 6 rokov v súlade s hodnotením podľa čl.</w:t>
      </w:r>
      <w:r>
        <w:rPr>
          <w:rFonts w:ascii="Times New Roman" w:hAnsi="Times New Roman" w:cs="Times New Roman"/>
          <w:sz w:val="24"/>
          <w:szCs w:val="24"/>
        </w:rPr>
        <w:t xml:space="preserve"> </w:t>
      </w:r>
      <w:r w:rsidRPr="00FE2A05">
        <w:rPr>
          <w:rFonts w:ascii="Times New Roman" w:hAnsi="Times New Roman" w:cs="Times New Roman"/>
          <w:sz w:val="24"/>
          <w:szCs w:val="24"/>
        </w:rPr>
        <w:t xml:space="preserve">12 smernice o ochrane voľne žijúceho vtáctva sumarizujúcu správu, ktorá bude obsahovať minimálne a maximálne zaznamenané počty </w:t>
      </w:r>
      <w:r w:rsidRPr="002B2074">
        <w:rPr>
          <w:rFonts w:ascii="Times New Roman" w:hAnsi="Times New Roman" w:cs="Times New Roman"/>
          <w:sz w:val="24"/>
          <w:szCs w:val="24"/>
        </w:rPr>
        <w:t>močiarničiek</w:t>
      </w:r>
      <w:r w:rsidRPr="00FE2A05">
        <w:rPr>
          <w:rFonts w:ascii="Times New Roman" w:hAnsi="Times New Roman" w:cs="Times New Roman"/>
          <w:sz w:val="24"/>
          <w:szCs w:val="24"/>
        </w:rPr>
        <w:t xml:space="preserve">, ale aj ďalších druhov migrujúcich </w:t>
      </w:r>
      <w:r>
        <w:rPr>
          <w:rFonts w:ascii="Times New Roman" w:hAnsi="Times New Roman" w:cs="Times New Roman"/>
          <w:sz w:val="24"/>
          <w:szCs w:val="24"/>
        </w:rPr>
        <w:t xml:space="preserve">a zimujúcich vodných </w:t>
      </w:r>
      <w:r w:rsidRPr="00FE2A05">
        <w:rPr>
          <w:rFonts w:ascii="Times New Roman" w:hAnsi="Times New Roman" w:cs="Times New Roman"/>
          <w:sz w:val="24"/>
          <w:szCs w:val="24"/>
        </w:rPr>
        <w:t xml:space="preserve">vtákov v priebehu posledných 6 rokov. Koordinátor sumarizuje taktiež najvýznamnejšie vplyvy a ohrozenia (max 5 s vysokou intenzitou a spolu max. 10 vplyvov a ohrození). </w:t>
      </w:r>
    </w:p>
    <w:p w14:paraId="62AA53A6" w14:textId="77777777" w:rsidR="002B2074" w:rsidRDefault="002B2074" w:rsidP="00042CAC">
      <w:pPr>
        <w:jc w:val="both"/>
        <w:rPr>
          <w:rFonts w:ascii="Times New Roman" w:hAnsi="Times New Roman" w:cs="Times New Roman"/>
          <w:sz w:val="24"/>
          <w:szCs w:val="24"/>
          <w:u w:val="single"/>
        </w:rPr>
      </w:pPr>
    </w:p>
    <w:p w14:paraId="3BAC0475" w14:textId="16E4CD72" w:rsidR="00042CAC" w:rsidRDefault="00042CAC" w:rsidP="00042CAC">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5133BEAA" w14:textId="77777777" w:rsidR="00042CAC" w:rsidRPr="00422A26" w:rsidRDefault="00042CAC" w:rsidP="00042CAC">
      <w:pPr>
        <w:jc w:val="both"/>
        <w:rPr>
          <w:rFonts w:ascii="Times New Roman" w:hAnsi="Times New Roman" w:cs="Times New Roman"/>
          <w:sz w:val="24"/>
          <w:szCs w:val="24"/>
        </w:rPr>
      </w:pPr>
      <w:r>
        <w:rPr>
          <w:rFonts w:ascii="Times New Roman" w:hAnsi="Times New Roman" w:cs="Times New Roman"/>
          <w:sz w:val="24"/>
          <w:szCs w:val="24"/>
        </w:rPr>
        <w:t xml:space="preserve">Janda J. </w:t>
      </w:r>
      <w:r w:rsidRPr="00422A26">
        <w:rPr>
          <w:rFonts w:ascii="Times New Roman" w:hAnsi="Times New Roman" w:cs="Times New Roman"/>
          <w:sz w:val="24"/>
          <w:szCs w:val="24"/>
        </w:rPr>
        <w:t xml:space="preserve">&amp; Řepa P. 1986: Metody kvantitativního výzkumu v ornitologii. </w:t>
      </w:r>
      <w:r>
        <w:rPr>
          <w:rFonts w:ascii="Times New Roman" w:hAnsi="Times New Roman" w:cs="Times New Roman"/>
          <w:sz w:val="24"/>
          <w:szCs w:val="24"/>
        </w:rPr>
        <w:t>– SZN, Praha.</w:t>
      </w:r>
    </w:p>
    <w:p w14:paraId="49266882" w14:textId="77777777" w:rsidR="00042CAC" w:rsidRDefault="00042CAC" w:rsidP="00042CAC">
      <w:pPr>
        <w:jc w:val="both"/>
        <w:rPr>
          <w:rFonts w:ascii="Times New Roman" w:hAnsi="Times New Roman" w:cs="Times New Roman"/>
          <w:sz w:val="24"/>
          <w:szCs w:val="24"/>
        </w:rPr>
      </w:pPr>
      <w:r>
        <w:rPr>
          <w:rFonts w:ascii="Times New Roman" w:hAnsi="Times New Roman" w:cs="Times New Roman"/>
          <w:sz w:val="24"/>
          <w:szCs w:val="24"/>
        </w:rPr>
        <w:t>Kropil R. 1994: Metodika programu sčítania vtákov na Slovensku. – Tichodroma 7: 138-143.</w:t>
      </w:r>
    </w:p>
    <w:p w14:paraId="61841A84" w14:textId="77777777" w:rsidR="00042CAC" w:rsidRDefault="00042CAC" w:rsidP="00042CAC">
      <w:pPr>
        <w:jc w:val="both"/>
        <w:rPr>
          <w:rFonts w:ascii="Times New Roman" w:hAnsi="Times New Roman" w:cs="Times New Roman"/>
          <w:sz w:val="24"/>
          <w:szCs w:val="24"/>
        </w:rPr>
      </w:pPr>
      <w:r w:rsidRPr="001869F0">
        <w:rPr>
          <w:rFonts w:ascii="Times New Roman" w:hAnsi="Times New Roman" w:cs="Times New Roman"/>
          <w:sz w:val="24"/>
          <w:szCs w:val="24"/>
        </w:rPr>
        <w:t>Pannekoek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an Strien</w:t>
      </w:r>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manual (TRends and Indices for Monitoring data). </w:t>
      </w:r>
      <w:r>
        <w:rPr>
          <w:rFonts w:ascii="Times New Roman" w:hAnsi="Times New Roman" w:cs="Times New Roman"/>
          <w:sz w:val="24"/>
          <w:szCs w:val="24"/>
        </w:rPr>
        <w:t xml:space="preserve">– </w:t>
      </w:r>
      <w:r w:rsidRPr="001869F0">
        <w:rPr>
          <w:rFonts w:ascii="Times New Roman" w:hAnsi="Times New Roman" w:cs="Times New Roman"/>
          <w:sz w:val="24"/>
          <w:szCs w:val="24"/>
        </w:rPr>
        <w:t>Statistics Netherlands.</w:t>
      </w:r>
    </w:p>
    <w:p w14:paraId="23FA2B3F" w14:textId="77777777" w:rsidR="00042CAC" w:rsidRDefault="00042CAC" w:rsidP="00042CAC">
      <w:pPr>
        <w:jc w:val="both"/>
        <w:rPr>
          <w:rFonts w:ascii="Times New Roman" w:hAnsi="Times New Roman" w:cs="Times New Roman"/>
          <w:sz w:val="24"/>
          <w:szCs w:val="24"/>
        </w:rPr>
      </w:pPr>
      <w:r>
        <w:rPr>
          <w:rFonts w:ascii="Times New Roman" w:hAnsi="Times New Roman" w:cs="Times New Roman"/>
          <w:sz w:val="24"/>
          <w:szCs w:val="24"/>
        </w:rPr>
        <w:t>SOS/BirdLife Slovensko 2013: Metodika systematického dlhodobého monitoringu výberových druhov v chránených vtáčích územiach. – Štátna ochrana prírody Slovenskej republiky, Banská Bystrica.</w:t>
      </w:r>
    </w:p>
    <w:p w14:paraId="4F59DBF0" w14:textId="77777777" w:rsidR="00042CAC" w:rsidRDefault="00042CAC" w:rsidP="00042CAC">
      <w:pPr>
        <w:jc w:val="both"/>
        <w:rPr>
          <w:rFonts w:ascii="Times New Roman" w:hAnsi="Times New Roman" w:cs="Times New Roman"/>
          <w:sz w:val="24"/>
          <w:szCs w:val="24"/>
          <w:lang w:val="en-US"/>
        </w:rPr>
      </w:pPr>
      <w:r>
        <w:rPr>
          <w:rFonts w:ascii="Times New Roman" w:hAnsi="Times New Roman" w:cs="Times New Roman"/>
          <w:sz w:val="24"/>
          <w:szCs w:val="24"/>
        </w:rPr>
        <w:t xml:space="preserve">Svennson L. </w:t>
      </w:r>
      <w:r>
        <w:rPr>
          <w:rFonts w:ascii="Times New Roman" w:hAnsi="Times New Roman" w:cs="Times New Roman"/>
          <w:sz w:val="24"/>
          <w:szCs w:val="24"/>
          <w:lang w:val="en-US"/>
        </w:rPr>
        <w:t>&amp; Grant P.J. 1999: Bird Guide. – HarperCollins</w:t>
      </w:r>
      <w:r>
        <w:rPr>
          <w:rFonts w:ascii="Times New Roman" w:hAnsi="Times New Roman" w:cs="Times New Roman"/>
          <w:i/>
          <w:iCs/>
          <w:sz w:val="24"/>
          <w:szCs w:val="24"/>
          <w:lang w:val="en-US"/>
        </w:rPr>
        <w:t>Publisher.</w:t>
      </w:r>
    </w:p>
    <w:p w14:paraId="45576E0A" w14:textId="77777777" w:rsidR="00042CAC" w:rsidRDefault="00042CAC" w:rsidP="00042CAC">
      <w:pPr>
        <w:jc w:val="both"/>
        <w:rPr>
          <w:rFonts w:ascii="Times New Roman" w:hAnsi="Times New Roman" w:cs="Times New Roman"/>
          <w:sz w:val="24"/>
          <w:szCs w:val="24"/>
          <w:lang w:val="en-US"/>
        </w:rPr>
      </w:pPr>
      <w:r>
        <w:rPr>
          <w:rFonts w:ascii="Times New Roman" w:hAnsi="Times New Roman" w:cs="Times New Roman"/>
          <w:sz w:val="24"/>
          <w:szCs w:val="24"/>
          <w:lang w:val="en-US"/>
        </w:rPr>
        <w:t>Voříšek P., Klvaňová A. Wotton S. &amp; Gregory R.D. (eds.) 2008: A Best Practice Guide for Wild Bird Monitoring Schemes – CSO/RSPB, Prague.</w:t>
      </w:r>
    </w:p>
    <w:p w14:paraId="46254608" w14:textId="77777777" w:rsidR="00042CAC" w:rsidRDefault="00042CAC" w:rsidP="00042CAC">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04C10C52" w14:textId="77777777" w:rsidR="002B2074" w:rsidRPr="001777B6" w:rsidRDefault="002B2074" w:rsidP="002B2074">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zimujúceho vodného vtáctva na líniových alebo pásových transektoch</w:t>
      </w:r>
    </w:p>
    <w:tbl>
      <w:tblPr>
        <w:tblStyle w:val="Mriekatabuky"/>
        <w:tblW w:w="0" w:type="auto"/>
        <w:tblLook w:val="04A0" w:firstRow="1" w:lastRow="0" w:firstColumn="1" w:lastColumn="0" w:noHBand="0" w:noVBand="1"/>
      </w:tblPr>
      <w:tblGrid>
        <w:gridCol w:w="5098"/>
        <w:gridCol w:w="3964"/>
      </w:tblGrid>
      <w:tr w:rsidR="002B2074" w:rsidRPr="00A532E7" w14:paraId="0AB675AB" w14:textId="77777777" w:rsidTr="00826D4E">
        <w:trPr>
          <w:trHeight w:val="58"/>
        </w:trPr>
        <w:tc>
          <w:tcPr>
            <w:tcW w:w="5098" w:type="dxa"/>
          </w:tcPr>
          <w:p w14:paraId="7D025A76" w14:textId="77777777" w:rsidR="002B2074" w:rsidRPr="00A532E7" w:rsidRDefault="002B2074" w:rsidP="00826D4E">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5E55554E" w14:textId="77777777" w:rsidR="002B2074" w:rsidRPr="00A532E7" w:rsidRDefault="002B2074" w:rsidP="00826D4E">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14CCDCEB" w14:textId="77777777" w:rsidR="002B2074" w:rsidRPr="00A532E7" w:rsidRDefault="002B2074" w:rsidP="002B207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2B2074" w:rsidRPr="00A532E7" w14:paraId="1876B119" w14:textId="77777777" w:rsidTr="00826D4E">
        <w:trPr>
          <w:trHeight w:val="58"/>
        </w:trPr>
        <w:tc>
          <w:tcPr>
            <w:tcW w:w="5098" w:type="dxa"/>
          </w:tcPr>
          <w:p w14:paraId="1243D4E7" w14:textId="77777777" w:rsidR="002B2074" w:rsidRPr="00A532E7" w:rsidRDefault="002B2074" w:rsidP="00826D4E">
            <w:pPr>
              <w:jc w:val="both"/>
              <w:rPr>
                <w:rFonts w:ascii="Times New Roman" w:hAnsi="Times New Roman" w:cs="Times New Roman"/>
                <w:i/>
                <w:iCs/>
                <w:sz w:val="20"/>
                <w:szCs w:val="20"/>
              </w:rPr>
            </w:pPr>
            <w:r>
              <w:rPr>
                <w:rFonts w:ascii="Times New Roman" w:hAnsi="Times New Roman" w:cs="Times New Roman"/>
                <w:sz w:val="20"/>
                <w:szCs w:val="20"/>
              </w:rPr>
              <w:t>Meno sčítavateľa</w:t>
            </w:r>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4F4B57DE" w14:textId="77777777" w:rsidR="002B2074" w:rsidRPr="00A532E7" w:rsidRDefault="002B2074" w:rsidP="00826D4E">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1C74D092" w14:textId="77777777" w:rsidR="002B2074" w:rsidRPr="00A532E7" w:rsidRDefault="002B2074" w:rsidP="002B207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2B2074" w:rsidRPr="00A532E7" w14:paraId="56B63434" w14:textId="77777777" w:rsidTr="00826D4E">
        <w:trPr>
          <w:trHeight w:val="58"/>
        </w:trPr>
        <w:tc>
          <w:tcPr>
            <w:tcW w:w="1696" w:type="dxa"/>
          </w:tcPr>
          <w:p w14:paraId="48722544" w14:textId="77777777" w:rsidR="002B2074" w:rsidRPr="00A532E7" w:rsidRDefault="002B2074" w:rsidP="00826D4E">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5E0C6C55" w14:textId="77777777" w:rsidR="002B2074" w:rsidRPr="00E14F6B" w:rsidRDefault="002B2074" w:rsidP="00826D4E">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1DA4CF6C" w14:textId="77777777" w:rsidR="002B2074" w:rsidRPr="00A532E7" w:rsidRDefault="002B2074" w:rsidP="00826D4E">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26FDA428" w14:textId="77777777" w:rsidR="002B2074" w:rsidRPr="00A532E7" w:rsidRDefault="002B2074" w:rsidP="002B207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2B2074" w:rsidRPr="00A532E7" w14:paraId="74075AAE" w14:textId="77777777" w:rsidTr="00826D4E">
        <w:trPr>
          <w:trHeight w:val="58"/>
        </w:trPr>
        <w:tc>
          <w:tcPr>
            <w:tcW w:w="9062" w:type="dxa"/>
          </w:tcPr>
          <w:p w14:paraId="6B8F5045" w14:textId="77777777" w:rsidR="002B2074" w:rsidRPr="006F4206" w:rsidRDefault="002B2074" w:rsidP="00826D4E">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592EA98A" w14:textId="77777777" w:rsidR="002B2074" w:rsidRDefault="002B2074" w:rsidP="002B2074">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830"/>
        <w:gridCol w:w="1843"/>
        <w:gridCol w:w="1985"/>
        <w:gridCol w:w="2409"/>
      </w:tblGrid>
      <w:tr w:rsidR="002B2074" w:rsidRPr="00A532E7" w14:paraId="0113CFA6" w14:textId="77777777" w:rsidTr="00826D4E">
        <w:trPr>
          <w:trHeight w:val="58"/>
        </w:trPr>
        <w:tc>
          <w:tcPr>
            <w:tcW w:w="9067" w:type="dxa"/>
            <w:gridSpan w:val="4"/>
          </w:tcPr>
          <w:p w14:paraId="6E2AF55C" w14:textId="77777777" w:rsidR="002B2074" w:rsidRPr="006F4206" w:rsidRDefault="002B2074" w:rsidP="00826D4E">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2B2074" w14:paraId="149FCFA3" w14:textId="77777777" w:rsidTr="00826D4E">
        <w:tc>
          <w:tcPr>
            <w:tcW w:w="2830" w:type="dxa"/>
          </w:tcPr>
          <w:p w14:paraId="7011C547" w14:textId="77777777" w:rsidR="002B2074" w:rsidRPr="006F4206" w:rsidRDefault="002B2074" w:rsidP="00826D4E">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843" w:type="dxa"/>
          </w:tcPr>
          <w:p w14:paraId="74CA3AEA" w14:textId="77777777" w:rsidR="002B2074" w:rsidRPr="006F4206" w:rsidRDefault="002B2074" w:rsidP="00826D4E">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985" w:type="dxa"/>
          </w:tcPr>
          <w:p w14:paraId="0D430DA2" w14:textId="77777777" w:rsidR="002B2074" w:rsidRPr="006F4206" w:rsidRDefault="002B2074" w:rsidP="00826D4E">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409" w:type="dxa"/>
          </w:tcPr>
          <w:p w14:paraId="606EC59C" w14:textId="77777777" w:rsidR="002B2074" w:rsidRPr="006F4206" w:rsidRDefault="002B2074" w:rsidP="00826D4E">
            <w:pPr>
              <w:jc w:val="both"/>
              <w:rPr>
                <w:rFonts w:ascii="Times New Roman" w:hAnsi="Times New Roman" w:cs="Times New Roman"/>
                <w:sz w:val="20"/>
                <w:szCs w:val="20"/>
              </w:rPr>
            </w:pPr>
            <w:r>
              <w:rPr>
                <w:rFonts w:ascii="Times New Roman" w:hAnsi="Times New Roman" w:cs="Times New Roman"/>
                <w:sz w:val="20"/>
                <w:szCs w:val="20"/>
              </w:rPr>
              <w:t>Poznámka</w:t>
            </w:r>
          </w:p>
        </w:tc>
      </w:tr>
      <w:tr w:rsidR="002B2074" w14:paraId="72C1F122" w14:textId="77777777" w:rsidTr="00826D4E">
        <w:tc>
          <w:tcPr>
            <w:tcW w:w="2830" w:type="dxa"/>
          </w:tcPr>
          <w:p w14:paraId="51ED4B26" w14:textId="77777777" w:rsidR="002B2074" w:rsidRPr="006F4206" w:rsidRDefault="002B2074" w:rsidP="00826D4E">
            <w:pPr>
              <w:jc w:val="both"/>
              <w:rPr>
                <w:rFonts w:ascii="Times New Roman" w:hAnsi="Times New Roman" w:cs="Times New Roman"/>
                <w:sz w:val="20"/>
                <w:szCs w:val="20"/>
              </w:rPr>
            </w:pPr>
          </w:p>
        </w:tc>
        <w:tc>
          <w:tcPr>
            <w:tcW w:w="1843" w:type="dxa"/>
          </w:tcPr>
          <w:p w14:paraId="1768CDB8" w14:textId="77777777" w:rsidR="002B2074" w:rsidRPr="006F4206" w:rsidRDefault="002B2074" w:rsidP="00826D4E">
            <w:pPr>
              <w:jc w:val="both"/>
              <w:rPr>
                <w:rFonts w:ascii="Times New Roman" w:hAnsi="Times New Roman" w:cs="Times New Roman"/>
                <w:sz w:val="20"/>
                <w:szCs w:val="20"/>
              </w:rPr>
            </w:pPr>
          </w:p>
        </w:tc>
        <w:tc>
          <w:tcPr>
            <w:tcW w:w="1985" w:type="dxa"/>
          </w:tcPr>
          <w:p w14:paraId="2AA8C850" w14:textId="77777777" w:rsidR="002B2074" w:rsidRPr="006F4206" w:rsidRDefault="002B2074" w:rsidP="00826D4E">
            <w:pPr>
              <w:jc w:val="both"/>
              <w:rPr>
                <w:rFonts w:ascii="Times New Roman" w:hAnsi="Times New Roman" w:cs="Times New Roman"/>
                <w:sz w:val="20"/>
                <w:szCs w:val="20"/>
              </w:rPr>
            </w:pPr>
          </w:p>
        </w:tc>
        <w:tc>
          <w:tcPr>
            <w:tcW w:w="2409" w:type="dxa"/>
          </w:tcPr>
          <w:p w14:paraId="28196EF2" w14:textId="77777777" w:rsidR="002B2074" w:rsidRPr="006F4206" w:rsidRDefault="002B2074" w:rsidP="00826D4E">
            <w:pPr>
              <w:jc w:val="both"/>
              <w:rPr>
                <w:rFonts w:ascii="Times New Roman" w:hAnsi="Times New Roman" w:cs="Times New Roman"/>
                <w:sz w:val="20"/>
                <w:szCs w:val="20"/>
              </w:rPr>
            </w:pPr>
          </w:p>
        </w:tc>
      </w:tr>
      <w:tr w:rsidR="002B2074" w14:paraId="672B3BE7" w14:textId="77777777" w:rsidTr="00826D4E">
        <w:tc>
          <w:tcPr>
            <w:tcW w:w="2830" w:type="dxa"/>
          </w:tcPr>
          <w:p w14:paraId="154CA089" w14:textId="77777777" w:rsidR="002B2074" w:rsidRPr="006F4206" w:rsidRDefault="002B2074" w:rsidP="00826D4E">
            <w:pPr>
              <w:jc w:val="both"/>
              <w:rPr>
                <w:rFonts w:ascii="Times New Roman" w:hAnsi="Times New Roman" w:cs="Times New Roman"/>
                <w:sz w:val="20"/>
                <w:szCs w:val="20"/>
              </w:rPr>
            </w:pPr>
          </w:p>
        </w:tc>
        <w:tc>
          <w:tcPr>
            <w:tcW w:w="1843" w:type="dxa"/>
          </w:tcPr>
          <w:p w14:paraId="37B772EC" w14:textId="77777777" w:rsidR="002B2074" w:rsidRPr="006F4206" w:rsidRDefault="002B2074" w:rsidP="00826D4E">
            <w:pPr>
              <w:jc w:val="both"/>
              <w:rPr>
                <w:rFonts w:ascii="Times New Roman" w:hAnsi="Times New Roman" w:cs="Times New Roman"/>
                <w:sz w:val="20"/>
                <w:szCs w:val="20"/>
              </w:rPr>
            </w:pPr>
          </w:p>
        </w:tc>
        <w:tc>
          <w:tcPr>
            <w:tcW w:w="1985" w:type="dxa"/>
          </w:tcPr>
          <w:p w14:paraId="13C0A8B2" w14:textId="77777777" w:rsidR="002B2074" w:rsidRPr="006F4206" w:rsidRDefault="002B2074" w:rsidP="00826D4E">
            <w:pPr>
              <w:jc w:val="both"/>
              <w:rPr>
                <w:rFonts w:ascii="Times New Roman" w:hAnsi="Times New Roman" w:cs="Times New Roman"/>
                <w:sz w:val="20"/>
                <w:szCs w:val="20"/>
              </w:rPr>
            </w:pPr>
          </w:p>
        </w:tc>
        <w:tc>
          <w:tcPr>
            <w:tcW w:w="2409" w:type="dxa"/>
          </w:tcPr>
          <w:p w14:paraId="611469C9" w14:textId="77777777" w:rsidR="002B2074" w:rsidRPr="006F4206" w:rsidRDefault="002B2074" w:rsidP="00826D4E">
            <w:pPr>
              <w:jc w:val="both"/>
              <w:rPr>
                <w:rFonts w:ascii="Times New Roman" w:hAnsi="Times New Roman" w:cs="Times New Roman"/>
                <w:sz w:val="20"/>
                <w:szCs w:val="20"/>
              </w:rPr>
            </w:pPr>
          </w:p>
        </w:tc>
      </w:tr>
      <w:tr w:rsidR="002B2074" w14:paraId="1BA8831E" w14:textId="77777777" w:rsidTr="00826D4E">
        <w:tc>
          <w:tcPr>
            <w:tcW w:w="2830" w:type="dxa"/>
          </w:tcPr>
          <w:p w14:paraId="00A5FEBD" w14:textId="77777777" w:rsidR="002B2074" w:rsidRPr="006F4206" w:rsidRDefault="002B2074" w:rsidP="00826D4E">
            <w:pPr>
              <w:jc w:val="both"/>
              <w:rPr>
                <w:rFonts w:ascii="Times New Roman" w:hAnsi="Times New Roman" w:cs="Times New Roman"/>
                <w:sz w:val="20"/>
                <w:szCs w:val="20"/>
              </w:rPr>
            </w:pPr>
          </w:p>
        </w:tc>
        <w:tc>
          <w:tcPr>
            <w:tcW w:w="1843" w:type="dxa"/>
          </w:tcPr>
          <w:p w14:paraId="7B2A48C3" w14:textId="77777777" w:rsidR="002B2074" w:rsidRPr="006F4206" w:rsidRDefault="002B2074" w:rsidP="00826D4E">
            <w:pPr>
              <w:jc w:val="both"/>
              <w:rPr>
                <w:rFonts w:ascii="Times New Roman" w:hAnsi="Times New Roman" w:cs="Times New Roman"/>
                <w:sz w:val="20"/>
                <w:szCs w:val="20"/>
              </w:rPr>
            </w:pPr>
          </w:p>
        </w:tc>
        <w:tc>
          <w:tcPr>
            <w:tcW w:w="1985" w:type="dxa"/>
          </w:tcPr>
          <w:p w14:paraId="20365236" w14:textId="77777777" w:rsidR="002B2074" w:rsidRPr="006F4206" w:rsidRDefault="002B2074" w:rsidP="00826D4E">
            <w:pPr>
              <w:jc w:val="both"/>
              <w:rPr>
                <w:rFonts w:ascii="Times New Roman" w:hAnsi="Times New Roman" w:cs="Times New Roman"/>
                <w:sz w:val="20"/>
                <w:szCs w:val="20"/>
              </w:rPr>
            </w:pPr>
          </w:p>
        </w:tc>
        <w:tc>
          <w:tcPr>
            <w:tcW w:w="2409" w:type="dxa"/>
          </w:tcPr>
          <w:p w14:paraId="5EFC99E3" w14:textId="77777777" w:rsidR="002B2074" w:rsidRPr="006F4206" w:rsidRDefault="002B2074" w:rsidP="00826D4E">
            <w:pPr>
              <w:jc w:val="both"/>
              <w:rPr>
                <w:rFonts w:ascii="Times New Roman" w:hAnsi="Times New Roman" w:cs="Times New Roman"/>
                <w:sz w:val="20"/>
                <w:szCs w:val="20"/>
              </w:rPr>
            </w:pPr>
          </w:p>
        </w:tc>
      </w:tr>
      <w:tr w:rsidR="002B2074" w14:paraId="0649217A" w14:textId="77777777" w:rsidTr="00826D4E">
        <w:tc>
          <w:tcPr>
            <w:tcW w:w="2830" w:type="dxa"/>
          </w:tcPr>
          <w:p w14:paraId="2ABACDB9" w14:textId="77777777" w:rsidR="002B2074" w:rsidRPr="006F4206" w:rsidRDefault="002B2074" w:rsidP="00826D4E">
            <w:pPr>
              <w:jc w:val="both"/>
              <w:rPr>
                <w:rFonts w:ascii="Times New Roman" w:hAnsi="Times New Roman" w:cs="Times New Roman"/>
                <w:sz w:val="20"/>
                <w:szCs w:val="20"/>
              </w:rPr>
            </w:pPr>
          </w:p>
        </w:tc>
        <w:tc>
          <w:tcPr>
            <w:tcW w:w="1843" w:type="dxa"/>
          </w:tcPr>
          <w:p w14:paraId="5B72F20B" w14:textId="77777777" w:rsidR="002B2074" w:rsidRPr="006F4206" w:rsidRDefault="002B2074" w:rsidP="00826D4E">
            <w:pPr>
              <w:jc w:val="both"/>
              <w:rPr>
                <w:rFonts w:ascii="Times New Roman" w:hAnsi="Times New Roman" w:cs="Times New Roman"/>
                <w:sz w:val="20"/>
                <w:szCs w:val="20"/>
              </w:rPr>
            </w:pPr>
          </w:p>
        </w:tc>
        <w:tc>
          <w:tcPr>
            <w:tcW w:w="1985" w:type="dxa"/>
          </w:tcPr>
          <w:p w14:paraId="63BC86E8" w14:textId="77777777" w:rsidR="002B2074" w:rsidRPr="006F4206" w:rsidRDefault="002B2074" w:rsidP="00826D4E">
            <w:pPr>
              <w:jc w:val="both"/>
              <w:rPr>
                <w:rFonts w:ascii="Times New Roman" w:hAnsi="Times New Roman" w:cs="Times New Roman"/>
                <w:sz w:val="20"/>
                <w:szCs w:val="20"/>
              </w:rPr>
            </w:pPr>
          </w:p>
        </w:tc>
        <w:tc>
          <w:tcPr>
            <w:tcW w:w="2409" w:type="dxa"/>
          </w:tcPr>
          <w:p w14:paraId="5290563C" w14:textId="77777777" w:rsidR="002B2074" w:rsidRPr="006F4206" w:rsidRDefault="002B2074" w:rsidP="00826D4E">
            <w:pPr>
              <w:jc w:val="both"/>
              <w:rPr>
                <w:rFonts w:ascii="Times New Roman" w:hAnsi="Times New Roman" w:cs="Times New Roman"/>
                <w:sz w:val="20"/>
                <w:szCs w:val="20"/>
              </w:rPr>
            </w:pPr>
          </w:p>
        </w:tc>
      </w:tr>
      <w:tr w:rsidR="002B2074" w14:paraId="21CFFC20" w14:textId="77777777" w:rsidTr="00826D4E">
        <w:tc>
          <w:tcPr>
            <w:tcW w:w="2830" w:type="dxa"/>
          </w:tcPr>
          <w:p w14:paraId="3E960B74" w14:textId="77777777" w:rsidR="002B2074" w:rsidRPr="006F4206" w:rsidRDefault="002B2074" w:rsidP="00826D4E">
            <w:pPr>
              <w:jc w:val="both"/>
              <w:rPr>
                <w:rFonts w:ascii="Times New Roman" w:hAnsi="Times New Roman" w:cs="Times New Roman"/>
                <w:sz w:val="20"/>
                <w:szCs w:val="20"/>
              </w:rPr>
            </w:pPr>
          </w:p>
        </w:tc>
        <w:tc>
          <w:tcPr>
            <w:tcW w:w="1843" w:type="dxa"/>
          </w:tcPr>
          <w:p w14:paraId="1D423B95" w14:textId="77777777" w:rsidR="002B2074" w:rsidRPr="006F4206" w:rsidRDefault="002B2074" w:rsidP="00826D4E">
            <w:pPr>
              <w:jc w:val="both"/>
              <w:rPr>
                <w:rFonts w:ascii="Times New Roman" w:hAnsi="Times New Roman" w:cs="Times New Roman"/>
                <w:sz w:val="20"/>
                <w:szCs w:val="20"/>
              </w:rPr>
            </w:pPr>
          </w:p>
        </w:tc>
        <w:tc>
          <w:tcPr>
            <w:tcW w:w="1985" w:type="dxa"/>
          </w:tcPr>
          <w:p w14:paraId="10F47FD3" w14:textId="77777777" w:rsidR="002B2074" w:rsidRPr="006F4206" w:rsidRDefault="002B2074" w:rsidP="00826D4E">
            <w:pPr>
              <w:jc w:val="both"/>
              <w:rPr>
                <w:rFonts w:ascii="Times New Roman" w:hAnsi="Times New Roman" w:cs="Times New Roman"/>
                <w:sz w:val="20"/>
                <w:szCs w:val="20"/>
              </w:rPr>
            </w:pPr>
          </w:p>
        </w:tc>
        <w:tc>
          <w:tcPr>
            <w:tcW w:w="2409" w:type="dxa"/>
          </w:tcPr>
          <w:p w14:paraId="0ED87A14" w14:textId="77777777" w:rsidR="002B2074" w:rsidRPr="006F4206" w:rsidRDefault="002B2074" w:rsidP="00826D4E">
            <w:pPr>
              <w:jc w:val="both"/>
              <w:rPr>
                <w:rFonts w:ascii="Times New Roman" w:hAnsi="Times New Roman" w:cs="Times New Roman"/>
                <w:sz w:val="20"/>
                <w:szCs w:val="20"/>
              </w:rPr>
            </w:pPr>
          </w:p>
        </w:tc>
      </w:tr>
    </w:tbl>
    <w:p w14:paraId="43082D91" w14:textId="77777777" w:rsidR="002B2074" w:rsidRPr="00A532E7" w:rsidRDefault="002B2074" w:rsidP="002B207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2B2074" w:rsidRPr="00A532E7" w14:paraId="5843BBFE" w14:textId="77777777" w:rsidTr="00826D4E">
        <w:trPr>
          <w:trHeight w:val="58"/>
        </w:trPr>
        <w:tc>
          <w:tcPr>
            <w:tcW w:w="9062" w:type="dxa"/>
            <w:gridSpan w:val="8"/>
          </w:tcPr>
          <w:p w14:paraId="2BC8FAA1" w14:textId="77777777" w:rsidR="002B2074" w:rsidRPr="006F4206" w:rsidRDefault="002B2074" w:rsidP="00826D4E">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2B2074" w:rsidRPr="00A532E7" w14:paraId="3BE0F342" w14:textId="77777777" w:rsidTr="00826D4E">
        <w:trPr>
          <w:trHeight w:val="58"/>
        </w:trPr>
        <w:tc>
          <w:tcPr>
            <w:tcW w:w="1089" w:type="dxa"/>
          </w:tcPr>
          <w:p w14:paraId="398FE062" w14:textId="77777777" w:rsidR="002B2074" w:rsidRPr="00A532E7" w:rsidRDefault="002B2074" w:rsidP="00826D4E">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5F9FD2A9" w14:textId="77777777" w:rsidR="002B2074" w:rsidRDefault="002B2074" w:rsidP="00826D4E">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1618D0A" w14:textId="77777777" w:rsidR="002B2074" w:rsidRPr="006F4206" w:rsidRDefault="002B2074" w:rsidP="00826D4E">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666C84D5" w14:textId="77777777" w:rsidR="002B2074" w:rsidRPr="006F4206" w:rsidRDefault="002B2074" w:rsidP="00826D4E">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6C30D52A" w14:textId="77777777" w:rsidR="002B2074" w:rsidRPr="006F4206" w:rsidRDefault="002B2074" w:rsidP="00826D4E">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286E9AC7" w14:textId="77777777" w:rsidR="002B2074" w:rsidRPr="006F4206" w:rsidRDefault="002B2074" w:rsidP="00826D4E">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36349B23" w14:textId="77777777" w:rsidR="002B2074" w:rsidRPr="006F4206" w:rsidRDefault="002B2074" w:rsidP="00826D4E">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1B305533" w14:textId="77777777" w:rsidR="002B2074" w:rsidRDefault="002B2074" w:rsidP="00826D4E">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284143F2" w14:textId="77777777" w:rsidR="002B2074" w:rsidRPr="006F4206" w:rsidRDefault="002B2074" w:rsidP="00826D4E">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6AD85A27" w14:textId="77777777" w:rsidR="002B2074" w:rsidRPr="006F4206" w:rsidRDefault="002B2074" w:rsidP="00826D4E">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09076FB3" w14:textId="77777777" w:rsidR="002B2074" w:rsidRPr="006F4206" w:rsidRDefault="002B2074" w:rsidP="00826D4E">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7D54DE4C" w14:textId="77777777" w:rsidR="002B2074" w:rsidRPr="006F4206" w:rsidRDefault="002B2074" w:rsidP="00826D4E">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2B2074" w:rsidRPr="00A532E7" w14:paraId="19A0B9D5" w14:textId="77777777" w:rsidTr="00826D4E">
        <w:trPr>
          <w:trHeight w:val="58"/>
        </w:trPr>
        <w:tc>
          <w:tcPr>
            <w:tcW w:w="1089" w:type="dxa"/>
          </w:tcPr>
          <w:p w14:paraId="3FE10950" w14:textId="77777777" w:rsidR="002B2074" w:rsidRDefault="002B2074" w:rsidP="00826D4E">
            <w:pPr>
              <w:jc w:val="both"/>
              <w:rPr>
                <w:rFonts w:ascii="Times New Roman" w:hAnsi="Times New Roman" w:cs="Times New Roman"/>
                <w:sz w:val="20"/>
                <w:szCs w:val="20"/>
              </w:rPr>
            </w:pPr>
          </w:p>
        </w:tc>
        <w:tc>
          <w:tcPr>
            <w:tcW w:w="1505" w:type="dxa"/>
          </w:tcPr>
          <w:p w14:paraId="372F0FD7" w14:textId="77777777" w:rsidR="002B2074" w:rsidRDefault="002B2074" w:rsidP="00826D4E">
            <w:pPr>
              <w:jc w:val="both"/>
              <w:rPr>
                <w:rFonts w:ascii="Times New Roman" w:hAnsi="Times New Roman" w:cs="Times New Roman"/>
                <w:sz w:val="20"/>
                <w:szCs w:val="20"/>
              </w:rPr>
            </w:pPr>
          </w:p>
        </w:tc>
        <w:tc>
          <w:tcPr>
            <w:tcW w:w="979" w:type="dxa"/>
          </w:tcPr>
          <w:p w14:paraId="237F736A" w14:textId="77777777" w:rsidR="002B2074" w:rsidRDefault="002B2074" w:rsidP="00826D4E">
            <w:pPr>
              <w:jc w:val="both"/>
              <w:rPr>
                <w:rFonts w:ascii="Times New Roman" w:hAnsi="Times New Roman" w:cs="Times New Roman"/>
                <w:sz w:val="20"/>
                <w:szCs w:val="20"/>
              </w:rPr>
            </w:pPr>
          </w:p>
        </w:tc>
        <w:tc>
          <w:tcPr>
            <w:tcW w:w="1073" w:type="dxa"/>
          </w:tcPr>
          <w:p w14:paraId="6B7B67D9" w14:textId="77777777" w:rsidR="002B2074" w:rsidRPr="006F4206" w:rsidRDefault="002B2074" w:rsidP="00826D4E">
            <w:pPr>
              <w:autoSpaceDE w:val="0"/>
              <w:autoSpaceDN w:val="0"/>
              <w:adjustRightInd w:val="0"/>
              <w:rPr>
                <w:rFonts w:ascii="Times New Roman" w:hAnsi="Times New Roman" w:cs="Times New Roman"/>
                <w:sz w:val="20"/>
                <w:szCs w:val="20"/>
              </w:rPr>
            </w:pPr>
          </w:p>
        </w:tc>
        <w:tc>
          <w:tcPr>
            <w:tcW w:w="1209" w:type="dxa"/>
          </w:tcPr>
          <w:p w14:paraId="784BCE77" w14:textId="77777777" w:rsidR="002B2074" w:rsidRDefault="002B2074" w:rsidP="00826D4E">
            <w:pPr>
              <w:jc w:val="both"/>
              <w:rPr>
                <w:rFonts w:ascii="Times New Roman" w:hAnsi="Times New Roman" w:cs="Times New Roman"/>
                <w:sz w:val="20"/>
                <w:szCs w:val="20"/>
              </w:rPr>
            </w:pPr>
          </w:p>
        </w:tc>
        <w:tc>
          <w:tcPr>
            <w:tcW w:w="1505" w:type="dxa"/>
          </w:tcPr>
          <w:p w14:paraId="0F3C94F5" w14:textId="77777777" w:rsidR="002B2074" w:rsidRDefault="002B2074" w:rsidP="00826D4E">
            <w:pPr>
              <w:jc w:val="both"/>
              <w:rPr>
                <w:rFonts w:ascii="Times New Roman" w:hAnsi="Times New Roman" w:cs="Times New Roman"/>
                <w:sz w:val="20"/>
                <w:szCs w:val="20"/>
              </w:rPr>
            </w:pPr>
          </w:p>
        </w:tc>
        <w:tc>
          <w:tcPr>
            <w:tcW w:w="798" w:type="dxa"/>
          </w:tcPr>
          <w:p w14:paraId="222B39DF" w14:textId="77777777" w:rsidR="002B2074" w:rsidRDefault="002B2074" w:rsidP="00826D4E">
            <w:pPr>
              <w:jc w:val="both"/>
              <w:rPr>
                <w:rFonts w:ascii="Times New Roman" w:hAnsi="Times New Roman" w:cs="Times New Roman"/>
                <w:sz w:val="20"/>
                <w:szCs w:val="20"/>
              </w:rPr>
            </w:pPr>
          </w:p>
        </w:tc>
        <w:tc>
          <w:tcPr>
            <w:tcW w:w="904" w:type="dxa"/>
          </w:tcPr>
          <w:p w14:paraId="6F57E2B2" w14:textId="77777777" w:rsidR="002B2074" w:rsidRPr="006F4206" w:rsidRDefault="002B2074" w:rsidP="00826D4E">
            <w:pPr>
              <w:autoSpaceDE w:val="0"/>
              <w:autoSpaceDN w:val="0"/>
              <w:adjustRightInd w:val="0"/>
              <w:rPr>
                <w:rFonts w:ascii="Times New Roman" w:hAnsi="Times New Roman" w:cs="Times New Roman"/>
                <w:sz w:val="20"/>
                <w:szCs w:val="20"/>
              </w:rPr>
            </w:pPr>
          </w:p>
        </w:tc>
      </w:tr>
      <w:tr w:rsidR="002B2074" w:rsidRPr="00A532E7" w14:paraId="11695130" w14:textId="77777777" w:rsidTr="00826D4E">
        <w:trPr>
          <w:trHeight w:val="58"/>
        </w:trPr>
        <w:tc>
          <w:tcPr>
            <w:tcW w:w="1089" w:type="dxa"/>
          </w:tcPr>
          <w:p w14:paraId="4605DAE6" w14:textId="77777777" w:rsidR="002B2074" w:rsidRDefault="002B2074" w:rsidP="00826D4E">
            <w:pPr>
              <w:jc w:val="both"/>
              <w:rPr>
                <w:rFonts w:ascii="Times New Roman" w:hAnsi="Times New Roman" w:cs="Times New Roman"/>
                <w:sz w:val="20"/>
                <w:szCs w:val="20"/>
              </w:rPr>
            </w:pPr>
          </w:p>
        </w:tc>
        <w:tc>
          <w:tcPr>
            <w:tcW w:w="1505" w:type="dxa"/>
          </w:tcPr>
          <w:p w14:paraId="69AB7E12" w14:textId="77777777" w:rsidR="002B2074" w:rsidRDefault="002B2074" w:rsidP="00826D4E">
            <w:pPr>
              <w:jc w:val="both"/>
              <w:rPr>
                <w:rFonts w:ascii="Times New Roman" w:hAnsi="Times New Roman" w:cs="Times New Roman"/>
                <w:sz w:val="20"/>
                <w:szCs w:val="20"/>
              </w:rPr>
            </w:pPr>
          </w:p>
        </w:tc>
        <w:tc>
          <w:tcPr>
            <w:tcW w:w="979" w:type="dxa"/>
          </w:tcPr>
          <w:p w14:paraId="7310748B" w14:textId="77777777" w:rsidR="002B2074" w:rsidRDefault="002B2074" w:rsidP="00826D4E">
            <w:pPr>
              <w:jc w:val="both"/>
              <w:rPr>
                <w:rFonts w:ascii="Times New Roman" w:hAnsi="Times New Roman" w:cs="Times New Roman"/>
                <w:sz w:val="20"/>
                <w:szCs w:val="20"/>
              </w:rPr>
            </w:pPr>
          </w:p>
        </w:tc>
        <w:tc>
          <w:tcPr>
            <w:tcW w:w="1073" w:type="dxa"/>
          </w:tcPr>
          <w:p w14:paraId="5953E9F0" w14:textId="77777777" w:rsidR="002B2074" w:rsidRPr="006F4206" w:rsidRDefault="002B2074" w:rsidP="00826D4E">
            <w:pPr>
              <w:autoSpaceDE w:val="0"/>
              <w:autoSpaceDN w:val="0"/>
              <w:adjustRightInd w:val="0"/>
              <w:rPr>
                <w:rFonts w:ascii="Times New Roman" w:hAnsi="Times New Roman" w:cs="Times New Roman"/>
                <w:sz w:val="20"/>
                <w:szCs w:val="20"/>
              </w:rPr>
            </w:pPr>
          </w:p>
        </w:tc>
        <w:tc>
          <w:tcPr>
            <w:tcW w:w="1209" w:type="dxa"/>
          </w:tcPr>
          <w:p w14:paraId="03427655" w14:textId="77777777" w:rsidR="002B2074" w:rsidRDefault="002B2074" w:rsidP="00826D4E">
            <w:pPr>
              <w:jc w:val="both"/>
              <w:rPr>
                <w:rFonts w:ascii="Times New Roman" w:hAnsi="Times New Roman" w:cs="Times New Roman"/>
                <w:sz w:val="20"/>
                <w:szCs w:val="20"/>
              </w:rPr>
            </w:pPr>
          </w:p>
        </w:tc>
        <w:tc>
          <w:tcPr>
            <w:tcW w:w="1505" w:type="dxa"/>
          </w:tcPr>
          <w:p w14:paraId="27C23BB3" w14:textId="77777777" w:rsidR="002B2074" w:rsidRDefault="002B2074" w:rsidP="00826D4E">
            <w:pPr>
              <w:jc w:val="both"/>
              <w:rPr>
                <w:rFonts w:ascii="Times New Roman" w:hAnsi="Times New Roman" w:cs="Times New Roman"/>
                <w:sz w:val="20"/>
                <w:szCs w:val="20"/>
              </w:rPr>
            </w:pPr>
          </w:p>
        </w:tc>
        <w:tc>
          <w:tcPr>
            <w:tcW w:w="798" w:type="dxa"/>
          </w:tcPr>
          <w:p w14:paraId="61790AEF" w14:textId="77777777" w:rsidR="002B2074" w:rsidRDefault="002B2074" w:rsidP="00826D4E">
            <w:pPr>
              <w:jc w:val="both"/>
              <w:rPr>
                <w:rFonts w:ascii="Times New Roman" w:hAnsi="Times New Roman" w:cs="Times New Roman"/>
                <w:sz w:val="20"/>
                <w:szCs w:val="20"/>
              </w:rPr>
            </w:pPr>
          </w:p>
        </w:tc>
        <w:tc>
          <w:tcPr>
            <w:tcW w:w="904" w:type="dxa"/>
          </w:tcPr>
          <w:p w14:paraId="7BA5598C" w14:textId="77777777" w:rsidR="002B2074" w:rsidRPr="006F4206" w:rsidRDefault="002B2074" w:rsidP="00826D4E">
            <w:pPr>
              <w:autoSpaceDE w:val="0"/>
              <w:autoSpaceDN w:val="0"/>
              <w:adjustRightInd w:val="0"/>
              <w:rPr>
                <w:rFonts w:ascii="Times New Roman" w:hAnsi="Times New Roman" w:cs="Times New Roman"/>
                <w:sz w:val="20"/>
                <w:szCs w:val="20"/>
              </w:rPr>
            </w:pPr>
          </w:p>
        </w:tc>
      </w:tr>
      <w:tr w:rsidR="002B2074" w:rsidRPr="00A532E7" w14:paraId="0D5EB338" w14:textId="77777777" w:rsidTr="00826D4E">
        <w:trPr>
          <w:trHeight w:val="58"/>
        </w:trPr>
        <w:tc>
          <w:tcPr>
            <w:tcW w:w="1089" w:type="dxa"/>
          </w:tcPr>
          <w:p w14:paraId="105C65B3" w14:textId="77777777" w:rsidR="002B2074" w:rsidRDefault="002B2074" w:rsidP="00826D4E">
            <w:pPr>
              <w:jc w:val="both"/>
              <w:rPr>
                <w:rFonts w:ascii="Times New Roman" w:hAnsi="Times New Roman" w:cs="Times New Roman"/>
                <w:sz w:val="20"/>
                <w:szCs w:val="20"/>
              </w:rPr>
            </w:pPr>
          </w:p>
        </w:tc>
        <w:tc>
          <w:tcPr>
            <w:tcW w:w="1505" w:type="dxa"/>
          </w:tcPr>
          <w:p w14:paraId="43B62D8A" w14:textId="77777777" w:rsidR="002B2074" w:rsidRDefault="002B2074" w:rsidP="00826D4E">
            <w:pPr>
              <w:jc w:val="both"/>
              <w:rPr>
                <w:rFonts w:ascii="Times New Roman" w:hAnsi="Times New Roman" w:cs="Times New Roman"/>
                <w:sz w:val="20"/>
                <w:szCs w:val="20"/>
              </w:rPr>
            </w:pPr>
          </w:p>
        </w:tc>
        <w:tc>
          <w:tcPr>
            <w:tcW w:w="979" w:type="dxa"/>
          </w:tcPr>
          <w:p w14:paraId="3EFDD2BC" w14:textId="77777777" w:rsidR="002B2074" w:rsidRDefault="002B2074" w:rsidP="00826D4E">
            <w:pPr>
              <w:jc w:val="both"/>
              <w:rPr>
                <w:rFonts w:ascii="Times New Roman" w:hAnsi="Times New Roman" w:cs="Times New Roman"/>
                <w:sz w:val="20"/>
                <w:szCs w:val="20"/>
              </w:rPr>
            </w:pPr>
          </w:p>
        </w:tc>
        <w:tc>
          <w:tcPr>
            <w:tcW w:w="1073" w:type="dxa"/>
          </w:tcPr>
          <w:p w14:paraId="2A8A5AB4" w14:textId="77777777" w:rsidR="002B2074" w:rsidRPr="006F4206" w:rsidRDefault="002B2074" w:rsidP="00826D4E">
            <w:pPr>
              <w:autoSpaceDE w:val="0"/>
              <w:autoSpaceDN w:val="0"/>
              <w:adjustRightInd w:val="0"/>
              <w:rPr>
                <w:rFonts w:ascii="Times New Roman" w:hAnsi="Times New Roman" w:cs="Times New Roman"/>
                <w:sz w:val="20"/>
                <w:szCs w:val="20"/>
              </w:rPr>
            </w:pPr>
          </w:p>
        </w:tc>
        <w:tc>
          <w:tcPr>
            <w:tcW w:w="1209" w:type="dxa"/>
          </w:tcPr>
          <w:p w14:paraId="18C66E28" w14:textId="77777777" w:rsidR="002B2074" w:rsidRDefault="002B2074" w:rsidP="00826D4E">
            <w:pPr>
              <w:jc w:val="both"/>
              <w:rPr>
                <w:rFonts w:ascii="Times New Roman" w:hAnsi="Times New Roman" w:cs="Times New Roman"/>
                <w:sz w:val="20"/>
                <w:szCs w:val="20"/>
              </w:rPr>
            </w:pPr>
          </w:p>
        </w:tc>
        <w:tc>
          <w:tcPr>
            <w:tcW w:w="1505" w:type="dxa"/>
          </w:tcPr>
          <w:p w14:paraId="0F7CA1F1" w14:textId="77777777" w:rsidR="002B2074" w:rsidRDefault="002B2074" w:rsidP="00826D4E">
            <w:pPr>
              <w:jc w:val="both"/>
              <w:rPr>
                <w:rFonts w:ascii="Times New Roman" w:hAnsi="Times New Roman" w:cs="Times New Roman"/>
                <w:sz w:val="20"/>
                <w:szCs w:val="20"/>
              </w:rPr>
            </w:pPr>
          </w:p>
        </w:tc>
        <w:tc>
          <w:tcPr>
            <w:tcW w:w="798" w:type="dxa"/>
          </w:tcPr>
          <w:p w14:paraId="3B5D50E0" w14:textId="77777777" w:rsidR="002B2074" w:rsidRDefault="002B2074" w:rsidP="00826D4E">
            <w:pPr>
              <w:jc w:val="both"/>
              <w:rPr>
                <w:rFonts w:ascii="Times New Roman" w:hAnsi="Times New Roman" w:cs="Times New Roman"/>
                <w:sz w:val="20"/>
                <w:szCs w:val="20"/>
              </w:rPr>
            </w:pPr>
          </w:p>
        </w:tc>
        <w:tc>
          <w:tcPr>
            <w:tcW w:w="904" w:type="dxa"/>
          </w:tcPr>
          <w:p w14:paraId="05F46F4E" w14:textId="77777777" w:rsidR="002B2074" w:rsidRPr="006F4206" w:rsidRDefault="002B2074" w:rsidP="00826D4E">
            <w:pPr>
              <w:autoSpaceDE w:val="0"/>
              <w:autoSpaceDN w:val="0"/>
              <w:adjustRightInd w:val="0"/>
              <w:rPr>
                <w:rFonts w:ascii="Times New Roman" w:hAnsi="Times New Roman" w:cs="Times New Roman"/>
                <w:sz w:val="20"/>
                <w:szCs w:val="20"/>
              </w:rPr>
            </w:pPr>
          </w:p>
        </w:tc>
      </w:tr>
    </w:tbl>
    <w:p w14:paraId="050E2172" w14:textId="77777777" w:rsidR="002B2074" w:rsidRDefault="002B2074" w:rsidP="002B2074">
      <w:pPr>
        <w:spacing w:after="0" w:line="240" w:lineRule="auto"/>
        <w:jc w:val="both"/>
        <w:rPr>
          <w:rFonts w:ascii="Times New Roman" w:hAnsi="Times New Roman" w:cs="Times New Roman"/>
          <w:sz w:val="10"/>
          <w:szCs w:val="10"/>
        </w:rPr>
      </w:pPr>
    </w:p>
    <w:p w14:paraId="0A25CB70" w14:textId="77777777" w:rsidR="002B2074" w:rsidRPr="00A532E7" w:rsidRDefault="002B2074" w:rsidP="002B207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2B2074" w:rsidRPr="00A532E7" w14:paraId="2A0CDCCD" w14:textId="77777777" w:rsidTr="00826D4E">
        <w:trPr>
          <w:trHeight w:val="58"/>
        </w:trPr>
        <w:tc>
          <w:tcPr>
            <w:tcW w:w="9062" w:type="dxa"/>
          </w:tcPr>
          <w:p w14:paraId="66FA43EE" w14:textId="77777777" w:rsidR="002B2074" w:rsidRPr="006F4206" w:rsidRDefault="002B2074" w:rsidP="00826D4E">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2B2074" w:rsidRPr="00A532E7" w14:paraId="14C7DB26" w14:textId="77777777" w:rsidTr="00826D4E">
        <w:trPr>
          <w:trHeight w:val="58"/>
        </w:trPr>
        <w:tc>
          <w:tcPr>
            <w:tcW w:w="9062" w:type="dxa"/>
          </w:tcPr>
          <w:p w14:paraId="4A7F680F" w14:textId="77777777" w:rsidR="002B2074" w:rsidRDefault="002B2074" w:rsidP="00826D4E">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522EF029" w14:textId="77777777" w:rsidR="002B2074" w:rsidRPr="00A532E7" w:rsidRDefault="002B2074" w:rsidP="002B207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2B2074" w:rsidRPr="00A532E7" w14:paraId="7FA2C16A" w14:textId="77777777" w:rsidTr="00826D4E">
        <w:trPr>
          <w:trHeight w:val="58"/>
        </w:trPr>
        <w:tc>
          <w:tcPr>
            <w:tcW w:w="9062" w:type="dxa"/>
          </w:tcPr>
          <w:p w14:paraId="6DC026F0" w14:textId="77777777" w:rsidR="002B2074" w:rsidRPr="006F4206" w:rsidRDefault="002B2074" w:rsidP="00826D4E">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21E30602" w14:textId="77777777" w:rsidR="002B2074" w:rsidRPr="00A532E7" w:rsidRDefault="002B2074" w:rsidP="002B2074">
      <w:pPr>
        <w:spacing w:after="0" w:line="240" w:lineRule="auto"/>
        <w:jc w:val="both"/>
        <w:rPr>
          <w:rFonts w:ascii="Times New Roman" w:hAnsi="Times New Roman" w:cs="Times New Roman"/>
          <w:sz w:val="10"/>
          <w:szCs w:val="10"/>
        </w:rPr>
      </w:pPr>
    </w:p>
    <w:p w14:paraId="5541340E" w14:textId="77777777" w:rsidR="00042CAC" w:rsidRPr="00A532E7" w:rsidRDefault="00042CAC" w:rsidP="00042CAC">
      <w:pPr>
        <w:spacing w:after="0" w:line="240" w:lineRule="auto"/>
        <w:jc w:val="both"/>
        <w:rPr>
          <w:rFonts w:ascii="Times New Roman" w:hAnsi="Times New Roman" w:cs="Times New Roman"/>
          <w:sz w:val="10"/>
          <w:szCs w:val="10"/>
        </w:rPr>
      </w:pPr>
    </w:p>
    <w:p w14:paraId="4176E576" w14:textId="77777777" w:rsidR="00042CAC" w:rsidRPr="00A532E7" w:rsidRDefault="00042CAC" w:rsidP="00042CAC">
      <w:pPr>
        <w:spacing w:after="0" w:line="240" w:lineRule="auto"/>
        <w:jc w:val="both"/>
        <w:rPr>
          <w:rFonts w:ascii="Times New Roman" w:hAnsi="Times New Roman" w:cs="Times New Roman"/>
          <w:sz w:val="10"/>
          <w:szCs w:val="10"/>
        </w:rPr>
      </w:pPr>
    </w:p>
    <w:p w14:paraId="094DBAAF" w14:textId="77777777" w:rsidR="00042CAC" w:rsidRDefault="00042CAC" w:rsidP="00042CAC">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05FF84C0" w14:textId="77777777" w:rsidR="00042CAC" w:rsidRDefault="00042CAC" w:rsidP="00042CAC">
      <w:pPr>
        <w:autoSpaceDE w:val="0"/>
        <w:autoSpaceDN w:val="0"/>
        <w:adjustRightInd w:val="0"/>
        <w:spacing w:after="0" w:line="240" w:lineRule="auto"/>
        <w:rPr>
          <w:rFonts w:ascii="Calibri" w:hAnsi="Calibri" w:cs="Calibri"/>
        </w:rPr>
      </w:pPr>
    </w:p>
    <w:p w14:paraId="36945D91" w14:textId="77777777" w:rsidR="00042CAC" w:rsidRDefault="00042CAC" w:rsidP="00042CAC">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Mapovateľ povinne vypĺňa len políčka označené hviezdičkou. U ostatných políčiek je ich vyplnenie mapovateľom veľmi vítané, ale nie je podmienkou. Ak sčítavateľ nepovinné polia nevyplní, vyplní ich koordinátor monitoringu na základe externých údajov. Vyplnenie týchto nepovinných polí mapovateľom napomôže koordinátorovi lepšie zhodnotiť externé dáta.</w:t>
      </w:r>
    </w:p>
    <w:p w14:paraId="74D656C5" w14:textId="77777777" w:rsidR="00042CAC" w:rsidRDefault="00042CAC" w:rsidP="00042CAC">
      <w:pPr>
        <w:autoSpaceDE w:val="0"/>
        <w:autoSpaceDN w:val="0"/>
        <w:adjustRightInd w:val="0"/>
        <w:spacing w:after="0" w:line="240" w:lineRule="auto"/>
        <w:jc w:val="both"/>
        <w:rPr>
          <w:rFonts w:ascii="Times New Roman" w:hAnsi="Times New Roman" w:cs="Times New Roman"/>
          <w:i/>
          <w:iCs/>
          <w:sz w:val="20"/>
          <w:szCs w:val="20"/>
        </w:rPr>
      </w:pPr>
    </w:p>
    <w:p w14:paraId="5DCBAE43"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9E9335A"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p>
    <w:p w14:paraId="3263FCEE" w14:textId="77777777" w:rsidR="00042CAC" w:rsidRPr="00E14F6B" w:rsidRDefault="00042CAC" w:rsidP="00042CA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40EB0C41" w14:textId="77777777" w:rsidR="00042CAC" w:rsidRPr="00A532E7" w:rsidRDefault="00042CAC" w:rsidP="00042CAC">
      <w:pPr>
        <w:spacing w:after="0" w:line="240" w:lineRule="auto"/>
        <w:jc w:val="both"/>
        <w:rPr>
          <w:rFonts w:ascii="Times New Roman" w:hAnsi="Times New Roman" w:cs="Times New Roman"/>
          <w:sz w:val="10"/>
          <w:szCs w:val="10"/>
        </w:rPr>
      </w:pPr>
    </w:p>
    <w:p w14:paraId="1441F2A2"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r>
        <w:rPr>
          <w:rFonts w:ascii="Times New Roman" w:hAnsi="Times New Roman" w:cs="Times New Roman"/>
          <w:i/>
          <w:iCs/>
          <w:sz w:val="20"/>
          <w:szCs w:val="20"/>
        </w:rPr>
        <w:t>sčítavateľa</w:t>
      </w:r>
      <w:r w:rsidRPr="00E14F6B">
        <w:rPr>
          <w:rFonts w:ascii="Times New Roman" w:hAnsi="Times New Roman" w:cs="Times New Roman"/>
          <w:sz w:val="20"/>
          <w:szCs w:val="20"/>
        </w:rPr>
        <w:t xml:space="preserve"> – meno </w:t>
      </w:r>
      <w:r>
        <w:rPr>
          <w:rFonts w:ascii="Times New Roman" w:hAnsi="Times New Roman" w:cs="Times New Roman"/>
          <w:sz w:val="20"/>
          <w:szCs w:val="20"/>
        </w:rPr>
        <w:t>sčítavateľa</w:t>
      </w:r>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4105DC3C"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p>
    <w:p w14:paraId="18DECA28"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35FE2AA3"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p>
    <w:p w14:paraId="72B67B57"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5DA6A76C"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p>
    <w:p w14:paraId="5D71CCF3" w14:textId="77777777" w:rsidR="00042CAC" w:rsidRPr="006049D2" w:rsidRDefault="00042CAC" w:rsidP="00042CA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°Bs a teploty v °C (alebo aspoň interval ak nebolo možné presne zmerať teplotu).</w:t>
      </w:r>
    </w:p>
    <w:p w14:paraId="71D063A3"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p>
    <w:p w14:paraId="628B4A7D"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14B59B5E"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p>
    <w:p w14:paraId="16162597"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AACCD6C"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p>
    <w:p w14:paraId="02519196"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0E4AE9CF"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p>
    <w:p w14:paraId="6AF85429"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53C18EF2"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p>
    <w:p w14:paraId="4395C30A"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63682A67" w14:textId="77777777" w:rsidR="00042CAC" w:rsidRDefault="00042CAC" w:rsidP="00042CAC">
      <w:pPr>
        <w:autoSpaceDE w:val="0"/>
        <w:autoSpaceDN w:val="0"/>
        <w:adjustRightInd w:val="0"/>
        <w:spacing w:after="0" w:line="240" w:lineRule="auto"/>
        <w:rPr>
          <w:rFonts w:ascii="Times New Roman" w:hAnsi="Times New Roman" w:cs="Times New Roman"/>
          <w:sz w:val="20"/>
          <w:szCs w:val="20"/>
        </w:rPr>
      </w:pPr>
    </w:p>
    <w:p w14:paraId="2E2F8E1B"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716B6FBB"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p>
    <w:p w14:paraId="41AA558A"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3EA06BAB"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p>
    <w:p w14:paraId="2B4F657A"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1FF4B172"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p>
    <w:p w14:paraId="094817C4"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2DC47A45" w14:textId="77777777" w:rsidR="00042CAC" w:rsidRPr="006049D2" w:rsidRDefault="00042CAC" w:rsidP="00042CAC">
      <w:pPr>
        <w:autoSpaceDE w:val="0"/>
        <w:autoSpaceDN w:val="0"/>
        <w:adjustRightInd w:val="0"/>
        <w:spacing w:after="0" w:line="240" w:lineRule="auto"/>
        <w:jc w:val="both"/>
        <w:rPr>
          <w:rFonts w:ascii="Times New Roman" w:hAnsi="Times New Roman" w:cs="Times New Roman"/>
          <w:sz w:val="20"/>
          <w:szCs w:val="20"/>
        </w:rPr>
      </w:pPr>
    </w:p>
    <w:p w14:paraId="65936827"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630F9E1F" w14:textId="77777777" w:rsidR="00042CAC" w:rsidRPr="006049D2" w:rsidRDefault="00042CAC" w:rsidP="00042CAC">
      <w:pPr>
        <w:autoSpaceDE w:val="0"/>
        <w:autoSpaceDN w:val="0"/>
        <w:adjustRightInd w:val="0"/>
        <w:spacing w:after="0" w:line="240" w:lineRule="auto"/>
        <w:jc w:val="both"/>
        <w:rPr>
          <w:rFonts w:ascii="Times New Roman" w:hAnsi="Times New Roman" w:cs="Times New Roman"/>
          <w:sz w:val="20"/>
          <w:szCs w:val="20"/>
        </w:rPr>
      </w:pPr>
    </w:p>
    <w:p w14:paraId="6931F210"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 Pole je povinné.</w:t>
      </w:r>
    </w:p>
    <w:p w14:paraId="3C2031BF" w14:textId="77777777" w:rsidR="00042CAC" w:rsidRPr="006049D2" w:rsidRDefault="00042CAC" w:rsidP="00042CAC">
      <w:pPr>
        <w:autoSpaceDE w:val="0"/>
        <w:autoSpaceDN w:val="0"/>
        <w:adjustRightInd w:val="0"/>
        <w:spacing w:after="0" w:line="240" w:lineRule="auto"/>
        <w:jc w:val="both"/>
        <w:rPr>
          <w:rFonts w:ascii="Times New Roman" w:hAnsi="Times New Roman" w:cs="Times New Roman"/>
          <w:sz w:val="20"/>
          <w:szCs w:val="20"/>
        </w:rPr>
      </w:pPr>
    </w:p>
    <w:p w14:paraId="3A212F60"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26233830" w14:textId="77777777" w:rsidR="00042CAC" w:rsidRPr="006049D2" w:rsidRDefault="00042CAC" w:rsidP="00042CAC">
      <w:pPr>
        <w:autoSpaceDE w:val="0"/>
        <w:autoSpaceDN w:val="0"/>
        <w:adjustRightInd w:val="0"/>
        <w:spacing w:after="0" w:line="240" w:lineRule="auto"/>
        <w:jc w:val="both"/>
        <w:rPr>
          <w:rFonts w:ascii="Times New Roman" w:hAnsi="Times New Roman" w:cs="Times New Roman"/>
          <w:sz w:val="20"/>
          <w:szCs w:val="20"/>
        </w:rPr>
      </w:pPr>
    </w:p>
    <w:p w14:paraId="302F59C3"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23935CE4" w14:textId="77777777" w:rsidR="00042CAC" w:rsidRPr="006049D2" w:rsidRDefault="00042CAC" w:rsidP="00042CAC">
      <w:pPr>
        <w:autoSpaceDE w:val="0"/>
        <w:autoSpaceDN w:val="0"/>
        <w:adjustRightInd w:val="0"/>
        <w:spacing w:after="0" w:line="240" w:lineRule="auto"/>
        <w:jc w:val="both"/>
        <w:rPr>
          <w:rFonts w:ascii="Times New Roman" w:hAnsi="Times New Roman" w:cs="Times New Roman"/>
          <w:i/>
          <w:iCs/>
          <w:sz w:val="20"/>
          <w:szCs w:val="20"/>
        </w:rPr>
      </w:pPr>
    </w:p>
    <w:p w14:paraId="675F6281" w14:textId="77777777" w:rsidR="00042CAC" w:rsidRPr="006049D2" w:rsidRDefault="00042CAC" w:rsidP="00042CA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5152DA3C" w14:textId="77777777" w:rsidR="00042CAC" w:rsidRPr="006049D2" w:rsidRDefault="00042CAC" w:rsidP="00042CA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728B14CC" w14:textId="77777777" w:rsidR="00042CAC" w:rsidRPr="006049D2" w:rsidRDefault="00042CAC" w:rsidP="00042CA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5CA9D09E" w14:textId="77777777" w:rsidR="00042CAC" w:rsidRPr="006049D2" w:rsidRDefault="00042CAC" w:rsidP="00042CA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79B516A3"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333251DE"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p>
    <w:p w14:paraId="2C7B85CB"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19C895EA" w14:textId="77777777" w:rsidR="00042CAC" w:rsidRDefault="00042CAC" w:rsidP="00042CAC">
      <w:pPr>
        <w:autoSpaceDE w:val="0"/>
        <w:autoSpaceDN w:val="0"/>
        <w:adjustRightInd w:val="0"/>
        <w:spacing w:after="0" w:line="240" w:lineRule="auto"/>
        <w:jc w:val="both"/>
        <w:rPr>
          <w:rFonts w:ascii="Times New Roman" w:hAnsi="Times New Roman" w:cs="Times New Roman"/>
          <w:i/>
          <w:iCs/>
          <w:sz w:val="20"/>
          <w:szCs w:val="20"/>
        </w:rPr>
      </w:pPr>
    </w:p>
    <w:p w14:paraId="3F2BEB54"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12EFCDA2"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p>
    <w:p w14:paraId="14B08AB5"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53C606D6"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p>
    <w:p w14:paraId="6F012BB6" w14:textId="77777777" w:rsidR="00042CAC" w:rsidRDefault="00042CAC" w:rsidP="00042CA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1AF6DB82" w14:textId="77777777" w:rsidR="00042CAC" w:rsidRDefault="00042CAC" w:rsidP="00042CAC">
      <w:pPr>
        <w:rPr>
          <w:rFonts w:ascii="Times New Roman" w:hAnsi="Times New Roman" w:cs="Times New Roman"/>
          <w:sz w:val="20"/>
          <w:szCs w:val="20"/>
        </w:rPr>
      </w:pPr>
      <w:r>
        <w:rPr>
          <w:rFonts w:ascii="Times New Roman" w:hAnsi="Times New Roman" w:cs="Times New Roman"/>
          <w:sz w:val="20"/>
          <w:szCs w:val="20"/>
        </w:rPr>
        <w:br w:type="page"/>
      </w:r>
    </w:p>
    <w:p w14:paraId="0B4FBD68" w14:textId="77777777" w:rsidR="00042CAC" w:rsidRPr="001777B6" w:rsidRDefault="00042CAC" w:rsidP="00042CAC">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0D21F495" w14:textId="77777777" w:rsidR="00042CAC" w:rsidRDefault="00042CAC" w:rsidP="00042CAC">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2B2074" w:rsidRPr="005579C1" w14:paraId="22299599" w14:textId="77777777" w:rsidTr="00826D4E">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05D481" w14:textId="77777777" w:rsidR="002B2074" w:rsidRPr="005579C1" w:rsidRDefault="002B2074" w:rsidP="00826D4E">
            <w:pPr>
              <w:spacing w:after="0" w:line="240" w:lineRule="auto"/>
              <w:rPr>
                <w:rFonts w:ascii="Times New Roman" w:eastAsia="Times New Roman" w:hAnsi="Times New Roman" w:cs="Times New Roman"/>
                <w:b/>
                <w:bCs/>
                <w:sz w:val="20"/>
                <w:szCs w:val="20"/>
                <w:lang w:eastAsia="sk-SK"/>
              </w:rPr>
            </w:pPr>
            <w:bookmarkStart w:id="1"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4BB60D50" w14:textId="77777777" w:rsidR="002B2074" w:rsidRPr="005579C1" w:rsidRDefault="002B2074" w:rsidP="00826D4E">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2B2074" w:rsidRPr="005579C1" w14:paraId="6376528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5CD8C3"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74F483EF"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2B2074" w:rsidRPr="005579C1" w14:paraId="27F9D18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48AB5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77E1AEB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2B2074" w:rsidRPr="005579C1" w14:paraId="288EDE7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E89A9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377F453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2B2074" w:rsidRPr="005579C1" w14:paraId="2E3C4E8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FA524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1D32503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2B2074" w:rsidRPr="005579C1" w14:paraId="0FAA0B8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9E921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1057B43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2B2074" w:rsidRPr="005579C1" w14:paraId="290F9B9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8940E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718C290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premena travinnej vegetácie na ornú pôdu</w:t>
            </w:r>
          </w:p>
        </w:tc>
      </w:tr>
      <w:tr w:rsidR="002B2074" w:rsidRPr="005579C1" w14:paraId="16193BC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D1790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3D1CD4B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2B2074" w:rsidRPr="005579C1" w14:paraId="207CF7D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17568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5760327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2B2074" w:rsidRPr="005579C1" w14:paraId="0F8E4C4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3DC40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5D97471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2B2074" w:rsidRPr="005579C1" w14:paraId="010D5A7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11890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78C38D3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2B2074" w:rsidRPr="005579C1" w14:paraId="611E556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55294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761D67A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2B2074" w:rsidRPr="005579C1" w14:paraId="5C8809C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BEFAE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30AC496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2B2074" w:rsidRPr="005579C1" w14:paraId="56C55F3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EC9EB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3592AB6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2B2074" w:rsidRPr="005579C1" w14:paraId="7E86B7B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E3671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6AF61B6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2B2074" w:rsidRPr="005579C1" w14:paraId="00C93E2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425A8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399769F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2B2074" w:rsidRPr="005579C1" w14:paraId="186F751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61A5E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1426329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2B2074" w:rsidRPr="005579C1" w14:paraId="7171925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ECC47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44399E1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2B2074" w:rsidRPr="005579C1" w14:paraId="608C1B8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072AB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06FE303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2B2074" w:rsidRPr="005579C1" w14:paraId="2F5D3DB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09AFD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60AB86B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2B2074" w:rsidRPr="005579C1" w14:paraId="73E04C8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1506F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6CB8429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2B2074" w:rsidRPr="005579C1" w14:paraId="51410B3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E60DB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5AAA45B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2B2074" w:rsidRPr="005579C1" w14:paraId="3263B23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5739D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7853655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2B2074" w:rsidRPr="005579C1" w14:paraId="6D66925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B7D7B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68DC7AF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2B2074" w:rsidRPr="005579C1" w14:paraId="569124B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085B4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42A1DC6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2B2074" w:rsidRPr="005579C1" w14:paraId="1D2399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39B33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559DADD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2B2074" w:rsidRPr="005579C1" w14:paraId="1DA6F9A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B46B0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197AF8C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2B2074" w:rsidRPr="005579C1" w14:paraId="2687510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C381B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4C52FB8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2B2074" w:rsidRPr="005579C1" w14:paraId="5601BDD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3CC9E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271B1BA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2B2074" w:rsidRPr="005579C1" w14:paraId="48FE94B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DD0D4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0A53B97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2B2074" w:rsidRPr="005579C1" w14:paraId="137BF93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9C412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2A7CDEC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2B2074" w:rsidRPr="005579C1" w14:paraId="14890A7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14D3A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38078BC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2B2074" w:rsidRPr="005579C1" w14:paraId="3005860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621B5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16BEC7D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2B2074" w:rsidRPr="005579C1" w14:paraId="79B6CB7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F2BAB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20F1DCF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2B2074" w:rsidRPr="005579C1" w14:paraId="5205F07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A7947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5BF7F1D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2B2074" w:rsidRPr="005579C1" w14:paraId="324142F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E6EEE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5E670BE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2B2074" w:rsidRPr="005579C1" w14:paraId="436ED5E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B1C1B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1A622D4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2B2074" w:rsidRPr="005579C1" w14:paraId="6347A61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11D19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5CA28EA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2B2074" w:rsidRPr="005579C1" w14:paraId="0E990CE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BB78C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09153B8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2B2074" w:rsidRPr="005579C1" w14:paraId="6419DD0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90942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659018F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2B2074" w:rsidRPr="005579C1" w14:paraId="73AA940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40F23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0999FDC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2B2074" w:rsidRPr="005579C1" w14:paraId="6C27872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FE130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3B2DEE9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2B2074" w:rsidRPr="005579C1" w14:paraId="784BD5F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78AAA6"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0737873D"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2B2074" w:rsidRPr="005579C1" w14:paraId="3BB2EE6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5C8EB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49DCEE6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2B2074" w:rsidRPr="005579C1" w14:paraId="7BFD976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70274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1BA09EE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2B2074" w:rsidRPr="005579C1" w14:paraId="1AF376D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A72CA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0A69E14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2B2074" w:rsidRPr="005579C1" w14:paraId="6C584EE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231C7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23075BC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2B2074" w:rsidRPr="005579C1" w14:paraId="00B2CE3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D913C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2CD84A9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2B2074" w:rsidRPr="005579C1" w14:paraId="7568C9B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9DC66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4DD166F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2B2074" w:rsidRPr="005579C1" w14:paraId="0574AE8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0FF24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0ECDBA6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2B2074" w:rsidRPr="005579C1" w14:paraId="5B300AD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5831D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1A7D7CF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Holorub</w:t>
            </w:r>
          </w:p>
        </w:tc>
      </w:tr>
      <w:tr w:rsidR="002B2074" w:rsidRPr="005579C1" w14:paraId="2047F57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1C9E4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2DF161F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2B2074" w:rsidRPr="005579C1" w14:paraId="2A1EBC1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A144B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5CD673A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hárov a ležaniny</w:t>
            </w:r>
          </w:p>
        </w:tc>
      </w:tr>
      <w:tr w:rsidR="002B2074" w:rsidRPr="005579C1" w14:paraId="112EB42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224E3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5720677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hospodárenie, ponechávanie suchárov, ležaniny a starých stromov</w:t>
            </w:r>
          </w:p>
        </w:tc>
      </w:tr>
      <w:tr w:rsidR="002B2074" w:rsidRPr="005579C1" w14:paraId="022BEED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C0EC5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4F36BE3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2B2074" w:rsidRPr="005579C1" w14:paraId="3083889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76840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5FB4A75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2B2074" w:rsidRPr="005579C1" w14:paraId="11281F2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1B211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48D0E68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biocídov, hormónov a chemikálií v lesníctve</w:t>
            </w:r>
          </w:p>
        </w:tc>
      </w:tr>
      <w:tr w:rsidR="002B2074" w:rsidRPr="005579C1" w14:paraId="1D70358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402D2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78101E8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2B2074" w:rsidRPr="005579C1" w14:paraId="3899D4B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C33CA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00FB027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2B2074" w:rsidRPr="005579C1" w14:paraId="0498D3B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82294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1C7661F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2B2074" w:rsidRPr="005579C1" w14:paraId="377AEEF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FDEA8D"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291C2317"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2B2074" w:rsidRPr="005579C1" w14:paraId="05CCC4D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2E49C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44D04AA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2B2074" w:rsidRPr="005579C1" w14:paraId="78F74AD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A7F9E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162A89D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2B2074" w:rsidRPr="005579C1" w14:paraId="7A8E07E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FFAB8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0863DFD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2B2074" w:rsidRPr="005579C1" w14:paraId="5B558C1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D109F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2F794B9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2B2074" w:rsidRPr="005579C1" w14:paraId="2518209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EB221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0687DC3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2B2074" w:rsidRPr="005579C1" w14:paraId="432FAC9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A72F4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0DCE6CC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2B2074" w:rsidRPr="005579C1" w14:paraId="4180431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FBF8D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5B86127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2B2074" w:rsidRPr="005579C1" w14:paraId="205598D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99AE1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52B90DD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2B2074" w:rsidRPr="005579C1" w14:paraId="3B052F8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D5943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32A33A6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2B2074" w:rsidRPr="005579C1" w14:paraId="3378225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FD364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1D17C1F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2B2074" w:rsidRPr="005579C1" w14:paraId="0B5207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C9B9F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2FEF530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2B2074" w:rsidRPr="005579C1" w14:paraId="7825E2B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EDAAF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0CC4E22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2B2074" w:rsidRPr="005579C1" w14:paraId="18DFF9A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78594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0406EDD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2B2074" w:rsidRPr="005579C1" w14:paraId="750081C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7A12C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5D2F273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2B2074" w:rsidRPr="005579C1" w14:paraId="10E583C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7ED75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3017821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2B2074" w:rsidRPr="005579C1" w14:paraId="47965F3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FCDBE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328C333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2B2074" w:rsidRPr="005579C1" w14:paraId="74C7EE7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D063D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4B9380F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2B2074" w:rsidRPr="005579C1" w14:paraId="4108079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14C19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7853C70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2B2074" w:rsidRPr="005579C1" w14:paraId="377C4A2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187CA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027401F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2B2074" w:rsidRPr="005579C1" w14:paraId="492612E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35A9D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43C073C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2B2074" w:rsidRPr="005579C1" w14:paraId="4023C6E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B0D71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1F37F0F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2B2074" w:rsidRPr="005579C1" w14:paraId="22B6203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92C5A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14B5EF9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2B2074" w:rsidRPr="005579C1" w14:paraId="3DC929D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FFCBE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533F486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2B2074" w:rsidRPr="005579C1" w14:paraId="15E770A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575DE5"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57BA01E4"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2B2074" w:rsidRPr="005579C1" w14:paraId="1F8F649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D994E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3833354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2B2074" w:rsidRPr="005579C1" w14:paraId="7C1FF10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11F9F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5BAFA37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2B2074" w:rsidRPr="005579C1" w14:paraId="467EEC5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6EE56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6964438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2B2074" w:rsidRPr="005579C1" w14:paraId="58DBADE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3E2AE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0200196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2B2074" w:rsidRPr="005579C1" w14:paraId="71D322C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AB722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1248117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2B2074" w:rsidRPr="005579C1" w14:paraId="2F7D171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EAF62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0FF119F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2B2074" w:rsidRPr="005579C1" w14:paraId="3359668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EC378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3D1A41C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2B2074" w:rsidRPr="005579C1" w14:paraId="49A5D41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BFF61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6A513D3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2B2074" w:rsidRPr="005579C1" w14:paraId="3C9BF9A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C6A59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54CC4C6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2B2074" w:rsidRPr="005579C1" w14:paraId="5ECF7D0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C4C37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058BC9F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2B2074" w:rsidRPr="005579C1" w14:paraId="3AA835B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FCDBF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778EC1A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2B2074" w:rsidRPr="005579C1" w14:paraId="5B82211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2114F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2A2EABD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2B2074" w:rsidRPr="005579C1" w14:paraId="0FEFA0B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3CDAC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7BA1F98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2B2074" w:rsidRPr="005579C1" w14:paraId="2F0E3FA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F4738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1B01CC7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2B2074" w:rsidRPr="005579C1" w14:paraId="4BC5BE7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ACF9F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16FEE5E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2B2074" w:rsidRPr="005579C1" w14:paraId="6BA46D7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28608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340CD71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2B2074" w:rsidRPr="005579C1" w14:paraId="5C48605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092FF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61823C1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2B2074" w:rsidRPr="005579C1" w14:paraId="27C477D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A52B4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5E7ACAD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2B2074" w:rsidRPr="005579C1" w14:paraId="2B8ED9D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3655D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3A88C23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2B2074" w:rsidRPr="005579C1" w14:paraId="412802E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49147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68A29B2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2B2074" w:rsidRPr="005579C1" w14:paraId="596E2A8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047E4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426C8D1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2B2074" w:rsidRPr="005579C1" w14:paraId="347D55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63A36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7380EFD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2B2074" w:rsidRPr="005579C1" w14:paraId="74E2A8E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35E1F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792AAAA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2B2074" w:rsidRPr="005579C1" w14:paraId="7AEB67F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76A21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00348BF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2B2074" w:rsidRPr="005579C1" w14:paraId="767E052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01312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2CC757B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2B2074" w:rsidRPr="005579C1" w14:paraId="7356D7D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9900B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17BE1C7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2B2074" w:rsidRPr="005579C1" w14:paraId="4C0CFA1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A378C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4B5D0EC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aerodrom, heliport</w:t>
            </w:r>
          </w:p>
        </w:tc>
      </w:tr>
      <w:tr w:rsidR="002B2074" w:rsidRPr="005579C1" w14:paraId="03CB9DB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E3A36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40010FE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2B2074" w:rsidRPr="005579C1" w14:paraId="100450F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6EEB1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7B3DE19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2B2074" w:rsidRPr="005579C1" w14:paraId="08F0F66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A22DC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38C216C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2B2074" w:rsidRPr="005579C1" w14:paraId="77480CA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29E85F"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25C45044"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2B2074" w:rsidRPr="005579C1" w14:paraId="01C042A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1B501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0CDC7D5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2B2074" w:rsidRPr="005579C1" w14:paraId="0A47A19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CAADC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457A923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2B2074" w:rsidRPr="005579C1" w14:paraId="110BE9E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10043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767F69D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2B2074" w:rsidRPr="005579C1" w14:paraId="07A1B7C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19B89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22CC032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2B2074" w:rsidRPr="005579C1" w14:paraId="2F75AA0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14012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347CB69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2B2074" w:rsidRPr="005579C1" w14:paraId="4F56A5E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07B87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533C676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2B2074" w:rsidRPr="005579C1" w14:paraId="1692F55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27EC4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789F692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2B2074" w:rsidRPr="005579C1" w14:paraId="3FAF156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D9AB3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1F8B57A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2B2074" w:rsidRPr="005579C1" w14:paraId="3F84B59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D5324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1FF61B5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2B2074" w:rsidRPr="005579C1" w14:paraId="733E753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3871B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4D70962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2B2074" w:rsidRPr="005579C1" w14:paraId="774C2B6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22DD2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5A89E61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2B2074" w:rsidRPr="005579C1" w14:paraId="55E6856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294F8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0BDDC54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2B2074" w:rsidRPr="005579C1" w14:paraId="521CA62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98418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771740C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2B2074" w:rsidRPr="005579C1" w14:paraId="271834C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1EDEE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2B59979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2B2074" w:rsidRPr="005579C1" w14:paraId="30DCEA3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AD520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2230453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2B2074" w:rsidRPr="005579C1" w14:paraId="07D8B30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11E42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176B3B9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2B2074" w:rsidRPr="005579C1" w14:paraId="47CCF36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597B8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46E484F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2B2074" w:rsidRPr="005579C1" w14:paraId="69657A3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A2BF2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2A8C74B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2B2074" w:rsidRPr="005579C1" w14:paraId="1AB7959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0FBBD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77A5479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2B2074" w:rsidRPr="005579C1" w14:paraId="43ADD57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F37F5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0B68847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2B2074" w:rsidRPr="005579C1" w14:paraId="7DD6CEA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E31E1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6A05DC0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2B2074" w:rsidRPr="005579C1" w14:paraId="799A3D5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C211BE"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142F674A"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2B2074" w:rsidRPr="005579C1" w14:paraId="5B9C8BF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316E4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5C5FA07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2B2074" w:rsidRPr="005579C1" w14:paraId="5856262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B2512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16E1325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2B2074" w:rsidRPr="005579C1" w14:paraId="31FB267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017BA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5FF0BFC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a hospodárske využívanie akvatických biotopov</w:t>
            </w:r>
          </w:p>
        </w:tc>
      </w:tr>
      <w:tr w:rsidR="002B2074" w:rsidRPr="005579C1" w14:paraId="44380B2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FF7AE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061A90F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2B2074" w:rsidRPr="005579C1" w14:paraId="0C62626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11A71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014342B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2B2074" w:rsidRPr="005579C1" w14:paraId="52B4D0C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651A8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02B7729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2B2074" w:rsidRPr="005579C1" w14:paraId="70D36A5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BADAD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0469FB1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2B2074" w:rsidRPr="005579C1" w14:paraId="7C4C7A9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A4620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3251844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2B2074" w:rsidRPr="005579C1" w14:paraId="48C35BD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09160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009E021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2B2074" w:rsidRPr="005579C1" w14:paraId="4D7B4E8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A70A0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6838289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2B2074" w:rsidRPr="005579C1" w14:paraId="4BA7EB2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815B8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13A2126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2B2074" w:rsidRPr="005579C1" w14:paraId="036857B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F42D4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497AB46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2B2074" w:rsidRPr="005579C1" w14:paraId="1B21EB2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FA086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172254F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2B2074" w:rsidRPr="005579C1" w14:paraId="226A332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483C0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1134674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2B2074" w:rsidRPr="005579C1" w14:paraId="29898BA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3959C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3634FAE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2B2074" w:rsidRPr="005579C1" w14:paraId="631F69F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BFD14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05CB4B9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2B2074" w:rsidRPr="005579C1" w14:paraId="3F67945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313CF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46FBA7F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2B2074" w:rsidRPr="005579C1" w14:paraId="6408264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B2666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6E0F825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2B2074" w:rsidRPr="005579C1" w14:paraId="31C040A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B1A0E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6476845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2B2074" w:rsidRPr="005579C1" w14:paraId="30BB5D8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7CCC8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49BE9DD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drancovanie floristických lokalít</w:t>
            </w:r>
          </w:p>
        </w:tc>
      </w:tr>
      <w:tr w:rsidR="002B2074" w:rsidRPr="005579C1" w14:paraId="32A38B3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FF3AD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4081123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2B2074" w:rsidRPr="005579C1" w14:paraId="4391A2D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2167C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6797BF4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2B2074" w:rsidRPr="005579C1" w14:paraId="3C1CB77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20033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7828464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2B2074" w:rsidRPr="005579C1" w14:paraId="6026C28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B7D19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0AF1250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2B2074" w:rsidRPr="005579C1" w14:paraId="353F827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01A35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3BE4027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2B2074" w:rsidRPr="005579C1" w14:paraId="3A648DB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7D1D5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3ADC8EF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2B2074" w:rsidRPr="005579C1" w14:paraId="4F375F5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9C867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15E00BF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2B2074" w:rsidRPr="005579C1" w14:paraId="23CD17A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5256D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63D9563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2B2074" w:rsidRPr="005579C1" w14:paraId="56E5F06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10564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23CBA78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2B2074" w:rsidRPr="005579C1" w14:paraId="616E098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4498E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38A9B41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2B2074" w:rsidRPr="005579C1" w14:paraId="213AF9A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715F7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7967E14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2B2074" w:rsidRPr="005579C1" w14:paraId="3C7F85C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8740D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55D08B5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2B2074" w:rsidRPr="005579C1" w14:paraId="54864C2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3B8A45"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1E343948"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2B2074" w:rsidRPr="005579C1" w14:paraId="4AF89A5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258D6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1EAF6D1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outdoorové, športové a rekreačné aktivity</w:t>
            </w:r>
          </w:p>
        </w:tc>
      </w:tr>
      <w:tr w:rsidR="002B2074" w:rsidRPr="005579C1" w14:paraId="2181CB0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45E20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19FD325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2B2074" w:rsidRPr="005579C1" w14:paraId="555A2FD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5618E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0105C4C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2B2074" w:rsidRPr="005579C1" w14:paraId="055ECB7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E99A5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3FD2644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bezmotorizované potápanie</w:t>
            </w:r>
          </w:p>
        </w:tc>
      </w:tr>
      <w:tr w:rsidR="002B2074" w:rsidRPr="005579C1" w14:paraId="112B67C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AF965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0B27CE8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2B2074" w:rsidRPr="005579C1" w14:paraId="5DB8A40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397A3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3D115A0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2B2074" w:rsidRPr="005579C1" w14:paraId="4F64D9C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796B5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40170D4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2B2074" w:rsidRPr="005579C1" w14:paraId="1F03B1B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0436C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1BB58D8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off-road motorizované riadenie</w:t>
            </w:r>
          </w:p>
        </w:tc>
      </w:tr>
      <w:tr w:rsidR="002B2074" w:rsidRPr="005579C1" w14:paraId="786D9F2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C47C8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6BE983A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2B2074" w:rsidRPr="005579C1" w14:paraId="4A64AB0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8049A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7496707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2B2074" w:rsidRPr="005579C1" w14:paraId="3AEF4FB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019DF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401684B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2B2074" w:rsidRPr="005579C1" w14:paraId="358A3DD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D18EB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475C287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2B2074" w:rsidRPr="005579C1" w14:paraId="7F26160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7359A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4B43B29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lietanie, paragliding, lietanie balónov</w:t>
            </w:r>
          </w:p>
        </w:tc>
      </w:tr>
      <w:tr w:rsidR="002B2074" w:rsidRPr="005579C1" w14:paraId="749C267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28E57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02F7B9B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2B2074" w:rsidRPr="005579C1" w14:paraId="482C66D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7DDCD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688EC51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šnorchlovanie</w:t>
            </w:r>
          </w:p>
        </w:tc>
      </w:tr>
      <w:tr w:rsidR="002B2074" w:rsidRPr="005579C1" w14:paraId="56A9220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720B4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3426FC4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outdoorové a rekreačné aktivity</w:t>
            </w:r>
          </w:p>
        </w:tc>
      </w:tr>
      <w:tr w:rsidR="002B2074" w:rsidRPr="005579C1" w14:paraId="52B51DD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8C735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74328F6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2B2074" w:rsidRPr="005579C1" w14:paraId="2C4C1F3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479C6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1B47CB3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2B2074" w:rsidRPr="005579C1" w14:paraId="4C8921A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55CB0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195AD42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2B2074" w:rsidRPr="005579C1" w14:paraId="0479082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DCBC7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0636EEE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2B2074" w:rsidRPr="005579C1" w14:paraId="3BB33C9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3AF5B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1AF1721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2B2074" w:rsidRPr="005579C1" w14:paraId="3F01E65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2945D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586893F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2B2074" w:rsidRPr="005579C1" w14:paraId="3BB4083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EE6F7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4438377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2B2074" w:rsidRPr="005579C1" w14:paraId="5683E7F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AC5D8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638DEB2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2B2074" w:rsidRPr="005579C1" w14:paraId="7EEAF65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67385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1BEA19C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2B2074" w:rsidRPr="005579C1" w14:paraId="6A08CC9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FAA4F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2897FE7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2B2074" w:rsidRPr="005579C1" w14:paraId="0B17629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9D24F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1D9F80A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2B2074" w:rsidRPr="005579C1" w14:paraId="508673D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2EA94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6820E1E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2B2074" w:rsidRPr="005579C1" w14:paraId="7154194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15F52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526B16B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2B2074" w:rsidRPr="005579C1" w14:paraId="5EF6017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5A1FE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1687488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2B2074" w:rsidRPr="005579C1" w14:paraId="1F6E8B3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A3025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6E9D310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2B2074" w:rsidRPr="005579C1" w14:paraId="67BFC9D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DFCDA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1AE1E94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2B2074" w:rsidRPr="005579C1" w14:paraId="14D8BD5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B051D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5E41940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zošľapávanie, nadmerné využívanie</w:t>
            </w:r>
          </w:p>
        </w:tc>
      </w:tr>
      <w:tr w:rsidR="002B2074" w:rsidRPr="005579C1" w14:paraId="4CB662D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E4828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2E71542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2B2074" w:rsidRPr="005579C1" w14:paraId="7FD732E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F9AF1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04BDC91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2B2074" w:rsidRPr="005579C1" w14:paraId="5F05AAC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C84AF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07F1B6F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2B2074" w:rsidRPr="005579C1" w14:paraId="661AAF9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74735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4979F0E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2B2074" w:rsidRPr="005579C1" w14:paraId="215F72D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CF3B7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3129885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2B2074" w:rsidRPr="005579C1" w14:paraId="00280AA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C4FBF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5103217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2B2074" w:rsidRPr="005579C1" w14:paraId="426B163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2C9D0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198FF30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2B2074" w:rsidRPr="005579C1" w14:paraId="6262DFD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40A23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479CB89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2B2074" w:rsidRPr="005579C1" w14:paraId="5908271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32D4B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67162EA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2B2074" w:rsidRPr="005579C1" w14:paraId="45CDDEA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D06B35"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5EAD9F87"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2B2074" w:rsidRPr="005579C1" w14:paraId="33F5354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E27F2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5D34217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2B2074" w:rsidRPr="005579C1" w14:paraId="420A4B3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09336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39064ED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2B2074" w:rsidRPr="005579C1" w14:paraId="194AD0D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F46C0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7EE1035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2B2074" w:rsidRPr="005579C1" w14:paraId="401A83F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39A71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4CCBC39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2B2074" w:rsidRPr="005579C1" w14:paraId="3BAA974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448E7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651A43D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2B2074" w:rsidRPr="005579C1" w14:paraId="2DC37A7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7A73C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66B7A1B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2B2074" w:rsidRPr="005579C1" w14:paraId="7A6D971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3EF02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6C90648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2B2074" w:rsidRPr="005579C1" w14:paraId="317704F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4B07F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2E7DF6E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2B2074" w:rsidRPr="005579C1" w14:paraId="46C7DCF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0759C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3B0B97B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2B2074" w:rsidRPr="005579C1" w14:paraId="20D6395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758E6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44E503F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2B2074" w:rsidRPr="005579C1" w14:paraId="616AAC9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631FF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56CF152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2B2074" w:rsidRPr="005579C1" w14:paraId="7BB1984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6C04A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4EFA844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2B2074" w:rsidRPr="005579C1" w14:paraId="47C86C2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2C62C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2CD6CEC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2B2074" w:rsidRPr="005579C1" w14:paraId="30B9BF8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E9302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02E89C1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2B2074" w:rsidRPr="005579C1" w14:paraId="7D4AF83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F48FD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213EB24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2B2074" w:rsidRPr="005579C1" w14:paraId="580A860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21DB7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6DEDD4D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2B2074" w:rsidRPr="005579C1" w14:paraId="42E6B79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C3CF2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40EF99A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2B2074" w:rsidRPr="005579C1" w14:paraId="7F8D69F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1E1BD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261E9D8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2B2074" w:rsidRPr="005579C1" w14:paraId="25D90A1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278F4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5BB0B9E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2B2074" w:rsidRPr="005579C1" w14:paraId="63B4880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65FF0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6DF4CEF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2B2074" w:rsidRPr="005579C1" w14:paraId="2EAF9B6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D3A50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156DC1C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2B2074" w:rsidRPr="005579C1" w14:paraId="17ED9D9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EA7DE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3BED414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2B2074" w:rsidRPr="005579C1" w14:paraId="5DA16E5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C3025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013EB48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2B2074" w:rsidRPr="005579C1" w14:paraId="79504C7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13201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19C36D9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2B2074" w:rsidRPr="005579C1" w14:paraId="1BCC27C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93434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6489F6C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2B2074" w:rsidRPr="005579C1" w14:paraId="179089B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1EB2B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6EBB03E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2B2074" w:rsidRPr="005579C1" w14:paraId="21500F6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FFD3B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576A3A6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2B2074" w:rsidRPr="005579C1" w14:paraId="440CBB5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6B0DC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00FB4ED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2B2074" w:rsidRPr="005579C1" w14:paraId="3896D13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7BD0A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24003FA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2B2074" w:rsidRPr="005579C1" w14:paraId="518FF23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E52C3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4EDEB9E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2B2074" w:rsidRPr="005579C1" w14:paraId="57C51C3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4D2E5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1DF8403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2B2074" w:rsidRPr="005579C1" w14:paraId="7006262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7F20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5A6BAE2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2B2074" w:rsidRPr="005579C1" w14:paraId="60E7909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F2814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10567C3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2B2074" w:rsidRPr="005579C1" w14:paraId="240460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A29F1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2FBDEB9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2B2074" w:rsidRPr="005579C1" w14:paraId="756C383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EDEB1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005FC74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2B2074" w:rsidRPr="005579C1" w14:paraId="424CC71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B699B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1F34A93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2B2074" w:rsidRPr="005579C1" w14:paraId="60B034A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7DF5C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794B816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2B2074" w:rsidRPr="005579C1" w14:paraId="5F6A1BB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E06AE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56719B9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2B2074" w:rsidRPr="005579C1" w14:paraId="4C5CC54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B5EFA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52B6DD8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2B2074" w:rsidRPr="005579C1" w14:paraId="006473F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08203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38C88A0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2B2074" w:rsidRPr="005579C1" w14:paraId="7F85E71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C22F90"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3CA776D0"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2B2074" w:rsidRPr="005579C1" w14:paraId="50F65E6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FE91C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172A687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2B2074" w:rsidRPr="005579C1" w14:paraId="36C68C3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9109C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55303DF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2B2074" w:rsidRPr="005579C1" w14:paraId="5B52564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FEF9F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45C96C7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2B2074" w:rsidRPr="005579C1" w14:paraId="6841B04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C4240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7FA7ED2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2B2074" w:rsidRPr="005579C1" w14:paraId="6DA59D6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13B71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7E646C8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2B2074" w:rsidRPr="005579C1" w14:paraId="37190DA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94C1E7"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36DF7F07"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2B2074" w:rsidRPr="005579C1" w14:paraId="08C2D61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2D9EE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0C35D89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2B2074" w:rsidRPr="005579C1" w14:paraId="446D5B9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9B59B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23CE826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2B2074" w:rsidRPr="005579C1" w14:paraId="3190A0A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60B11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4275858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2B2074" w:rsidRPr="005579C1" w14:paraId="489367F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6EFB6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00AEAF9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2B2074" w:rsidRPr="005579C1" w14:paraId="4D62E09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08FB8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25A5315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2B2074" w:rsidRPr="005579C1" w14:paraId="0197303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5023E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4E7F381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 rekultivácie a vysušovanie, všeobecne</w:t>
            </w:r>
          </w:p>
        </w:tc>
      </w:tr>
      <w:tr w:rsidR="002B2074" w:rsidRPr="005579C1" w14:paraId="122B923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212C0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33A3136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2B2074" w:rsidRPr="005579C1" w14:paraId="27CCD92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94667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542B9A5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2B2074" w:rsidRPr="005579C1" w14:paraId="03492DE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B391B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1BEA36E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2B2074" w:rsidRPr="005579C1" w14:paraId="2C7D30A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721B8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19960CF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2B2074" w:rsidRPr="005579C1" w14:paraId="0A0BA82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C17D3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6EECB5E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2B2074" w:rsidRPr="005579C1" w14:paraId="317598D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3F9BF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2F502A5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2B2074" w:rsidRPr="005579C1" w14:paraId="5EC07F1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7510E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31171D0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2B2074" w:rsidRPr="005579C1" w14:paraId="63BE3E3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D8530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1AF5D37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2B2074" w:rsidRPr="005579C1" w14:paraId="2C2D597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66AB5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41C7E1C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2B2074" w:rsidRPr="005579C1" w14:paraId="3AEB5EE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CE4A0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1EFBBF6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2B2074" w:rsidRPr="005579C1" w14:paraId="1C670C5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A3FD5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183AA20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2B2074" w:rsidRPr="005579C1" w14:paraId="63873B1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51FE2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3C8F60F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2B2074" w:rsidRPr="005579C1" w14:paraId="7D468E6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F3DCD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076D0AD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2B2074" w:rsidRPr="005579C1" w14:paraId="76DC1E5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D3237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3D04A93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2B2074" w:rsidRPr="005579C1" w14:paraId="64318BF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84990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7AEFFFB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2B2074" w:rsidRPr="005579C1" w14:paraId="50DCE77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D321A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4DBFC45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2B2074" w:rsidRPr="005579C1" w14:paraId="4B4673B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A7DB1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538C5FD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2B2074" w:rsidRPr="005579C1" w14:paraId="139B9F2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D1B91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50B6E5D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2B2074" w:rsidRPr="005579C1" w14:paraId="2858BF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356A4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203B91E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2B2074" w:rsidRPr="005579C1" w14:paraId="2D03603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A747A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7F74559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2B2074" w:rsidRPr="005579C1" w14:paraId="3C7717A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8FBF6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26AFAC7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2B2074" w:rsidRPr="005579C1" w14:paraId="6232799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27E9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095021E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2B2074" w:rsidRPr="005579C1" w14:paraId="10F0A53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6F25F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5410509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2B2074" w:rsidRPr="005579C1" w14:paraId="4F77E8E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FF328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2B4349E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2B2074" w:rsidRPr="005579C1" w14:paraId="60793A8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2FD88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3492029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2B2074" w:rsidRPr="005579C1" w14:paraId="74173E0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C6722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491635B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2B2074" w:rsidRPr="005579C1" w14:paraId="436689E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B3E4F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2262CD3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2B2074" w:rsidRPr="005579C1" w14:paraId="1065C83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C4FFC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5394D96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2B2074" w:rsidRPr="005579C1" w14:paraId="6846EEC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BDF65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31A028B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2B2074" w:rsidRPr="005579C1" w14:paraId="2A68FB0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42997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0A062FE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2B2074" w:rsidRPr="005579C1" w14:paraId="1912D12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72046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6920596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2B2074" w:rsidRPr="005579C1" w14:paraId="26FC9C9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EDE3D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1E4A647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2B2074" w:rsidRPr="005579C1" w14:paraId="41FEC20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0F632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1D5ADDE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2B2074" w:rsidRPr="005579C1" w14:paraId="19205DF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655BD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7C81C2F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2B2074" w:rsidRPr="005579C1" w14:paraId="7B9C6E0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C25C8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006346B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2B2074" w:rsidRPr="005579C1" w14:paraId="113CDA2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3638C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2A2CBC3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zásahy do brehových porastov, trstín a litorálnej vegetácie kvôli odvodňovaniu</w:t>
            </w:r>
          </w:p>
        </w:tc>
      </w:tr>
      <w:tr w:rsidR="002B2074" w:rsidRPr="005579C1" w14:paraId="15D6BA3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8ACE8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76221D9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2B2074" w:rsidRPr="005579C1" w14:paraId="2A65F5E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B2DA5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0D705B2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2B2074" w:rsidRPr="005579C1" w14:paraId="6E0EBFC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97A01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67E5984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2B2074" w:rsidRPr="005579C1" w14:paraId="49DB4E5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E0A1D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32AD9FE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2B2074" w:rsidRPr="005579C1" w14:paraId="35C781D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59EE2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7E12E42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zmenená kvalita vody spôsobená antropogénnymi zmenami salinity</w:t>
            </w:r>
          </w:p>
        </w:tc>
      </w:tr>
      <w:tr w:rsidR="002B2074" w:rsidRPr="005579C1" w14:paraId="04FF482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CBD3B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4385F47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2B2074" w:rsidRPr="005579C1" w14:paraId="1C16F8B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80B7D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751AB17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2B2074" w:rsidRPr="005579C1" w14:paraId="3A86F29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4FB62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650CE3A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zníženie množstva potravy (vrátane kadáverov, zdochlín)</w:t>
            </w:r>
          </w:p>
        </w:tc>
      </w:tr>
      <w:tr w:rsidR="002B2074" w:rsidRPr="005579C1" w14:paraId="526104D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161C3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7944759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2B2074" w:rsidRPr="005579C1" w14:paraId="2EEBC79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0483C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1B41306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2B2074" w:rsidRPr="005579C1" w14:paraId="666EC57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55180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2988213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2B2074" w:rsidRPr="005579C1" w14:paraId="7B02ECF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9A76E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3AD0E58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2B2074" w:rsidRPr="005579C1" w14:paraId="6FD9CD2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49E06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3F31AD8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2B2074" w:rsidRPr="005579C1" w14:paraId="150233A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A15B12"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762F70AA"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2B2074" w:rsidRPr="005579C1" w14:paraId="3736A79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83635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1B8778E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2B2074" w:rsidRPr="005579C1" w14:paraId="5563D53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C7112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5DE92CA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2B2074" w:rsidRPr="005579C1" w14:paraId="56EAEB1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F6ABA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1F24840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w:t>
            </w:r>
          </w:p>
        </w:tc>
      </w:tr>
      <w:tr w:rsidR="002B2074" w:rsidRPr="005579C1" w14:paraId="3735719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4ADC8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0BFAFFD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2B2074" w:rsidRPr="005579C1" w14:paraId="460F2E0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534DD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4EDE6D2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2B2074" w:rsidRPr="005579C1" w14:paraId="52F1890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66158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1A553C2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2B2074" w:rsidRPr="005579C1" w14:paraId="77CE4F7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22716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1F64C46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2B2074" w:rsidRPr="005579C1" w14:paraId="37C40CE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CAA79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398B804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2B2074" w:rsidRPr="005579C1" w14:paraId="12E8244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2F410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6ADF485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2B2074" w:rsidRPr="005579C1" w14:paraId="342426D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C4817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03A6E17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eutrofizácia (prirodzená)</w:t>
            </w:r>
          </w:p>
        </w:tc>
      </w:tr>
      <w:tr w:rsidR="002B2074" w:rsidRPr="005579C1" w14:paraId="52B5EC9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F2B7B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1F7E7E0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acidifikácia (prirodzená)</w:t>
            </w:r>
          </w:p>
        </w:tc>
      </w:tr>
      <w:tr w:rsidR="002B2074" w:rsidRPr="005579C1" w14:paraId="19A4A74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426E7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1793BC1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2B2074" w:rsidRPr="005579C1" w14:paraId="0B01C23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B273E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45167E8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2B2074" w:rsidRPr="005579C1" w14:paraId="7DB333F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83728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16CE26C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2B2074" w:rsidRPr="005579C1" w14:paraId="6F68E4D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DCFB4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5EA15C9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2B2074" w:rsidRPr="005579C1" w14:paraId="6770A33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20E959"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57A4C6E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predátorstvo</w:t>
            </w:r>
          </w:p>
        </w:tc>
      </w:tr>
      <w:tr w:rsidR="002B2074" w:rsidRPr="005579C1" w14:paraId="6FCB338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32D13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23903EF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2B2074" w:rsidRPr="005579C1" w14:paraId="549BE6A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83F68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1E94FC3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2B2074" w:rsidRPr="005579C1" w14:paraId="339B6EB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EB678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10EEC8D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2B2074" w:rsidRPr="005579C1" w14:paraId="2CA861D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F34C6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4CC7EBA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2B2074" w:rsidRPr="005579C1" w14:paraId="7DC1860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BDB4A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52C8D5D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2B2074" w:rsidRPr="005579C1" w14:paraId="0587828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3EC4D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7711EB9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2B2074" w:rsidRPr="005579C1" w14:paraId="5DED304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A849B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6521D4C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2B2074" w:rsidRPr="005579C1" w14:paraId="612CF71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613CE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0069429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2B2074" w:rsidRPr="005579C1" w14:paraId="6AC59B0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0F4150"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05495EC7"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2B2074" w:rsidRPr="005579C1" w14:paraId="4A23811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DA731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0C7D9E03"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2B2074" w:rsidRPr="005579C1" w14:paraId="3D97536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1C9C2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179EAE7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vlna, tsunami</w:t>
            </w:r>
          </w:p>
        </w:tc>
      </w:tr>
      <w:tr w:rsidR="002B2074" w:rsidRPr="005579C1" w14:paraId="4F6FBAD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67B09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31EF968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2B2074" w:rsidRPr="005579C1" w14:paraId="51DA2AF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5FFAF1"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592A967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2B2074" w:rsidRPr="005579C1" w14:paraId="468DE26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AE3AB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6C1040A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2B2074" w:rsidRPr="005579C1" w14:paraId="213BA4C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341E4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067A69D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2B2074" w:rsidRPr="005579C1" w14:paraId="43BBA79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2DB5F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5CABBE9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2B2074" w:rsidRPr="005579C1" w14:paraId="3FCE685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18DB3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019EAFE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2B2074" w:rsidRPr="005579C1" w14:paraId="5EF6962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849E8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36C281B4"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2B2074" w:rsidRPr="005579C1" w14:paraId="7390BE3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EB461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40ED883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2B2074" w:rsidRPr="005579C1" w14:paraId="238ED82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DD2775"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493F7C42"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2B2074" w:rsidRPr="005579C1" w14:paraId="2ED54B6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062FE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1A68501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2B2074" w:rsidRPr="005579C1" w14:paraId="62CEEB2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BAD8C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661C329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2B2074" w:rsidRPr="005579C1" w14:paraId="2563868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203ED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6B187C4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2B2074" w:rsidRPr="005579C1" w14:paraId="06A3887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2CDCC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321FBD0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2B2074" w:rsidRPr="005579C1" w14:paraId="55BCC5D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B8002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0FEB6CE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2B2074" w:rsidRPr="005579C1" w14:paraId="10C09A9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FF65C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71EF9F56"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2B2074" w:rsidRPr="005579C1" w14:paraId="191C75A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F8099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1194EB88"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2B2074" w:rsidRPr="005579C1" w14:paraId="78B193F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DB73A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44F150B2"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2B2074" w:rsidRPr="005579C1" w14:paraId="176A4D3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85E8E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5F45E4E0"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2B2074" w:rsidRPr="005579C1" w14:paraId="63B7059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217A77"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7364239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2B2074" w:rsidRPr="005579C1" w14:paraId="4A91AB8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5E5DA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623C9E4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desynchronizácia procesov</w:t>
            </w:r>
          </w:p>
        </w:tc>
      </w:tr>
      <w:tr w:rsidR="002B2074" w:rsidRPr="005579C1" w14:paraId="12B21AC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6EB67B"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1F5B755C"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2B2074" w:rsidRPr="005579C1" w14:paraId="44597F2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B8E06F"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3086F45E"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2B2074" w:rsidRPr="005579C1" w14:paraId="6832AF2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700689"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3CB789EA"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2B2074" w:rsidRPr="005579C1" w14:paraId="76B8610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770AA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20E11A3D"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2B2074" w:rsidRPr="005579C1" w14:paraId="7BAE82C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6E9B8A"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2051C2E5" w14:textId="77777777" w:rsidR="002B2074" w:rsidRPr="005579C1" w:rsidRDefault="002B2074"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2B2074" w:rsidRPr="005579C1" w14:paraId="33E4680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DC50AD"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4F100032" w14:textId="77777777" w:rsidR="002B2074" w:rsidRPr="005579C1" w:rsidRDefault="002B2074"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1"/>
    </w:tbl>
    <w:p w14:paraId="5C78145C" w14:textId="77777777" w:rsidR="002B2074" w:rsidRDefault="002B2074" w:rsidP="002B2074"/>
    <w:p w14:paraId="30212F49" w14:textId="77777777" w:rsidR="00042CAC" w:rsidRPr="003418B9" w:rsidRDefault="00042CAC" w:rsidP="00042CAC">
      <w:pPr>
        <w:autoSpaceDE w:val="0"/>
        <w:autoSpaceDN w:val="0"/>
        <w:adjustRightInd w:val="0"/>
        <w:spacing w:after="0" w:line="240" w:lineRule="auto"/>
        <w:jc w:val="both"/>
        <w:rPr>
          <w:rFonts w:ascii="Times New Roman" w:hAnsi="Times New Roman" w:cs="Times New Roman"/>
          <w:sz w:val="20"/>
          <w:szCs w:val="20"/>
        </w:rPr>
      </w:pPr>
    </w:p>
    <w:p w14:paraId="041FC5AF" w14:textId="77777777" w:rsidR="00042CAC" w:rsidRPr="00003F6B" w:rsidRDefault="00042CAC" w:rsidP="00042CAC">
      <w:pPr>
        <w:rPr>
          <w:rFonts w:ascii="Times New Roman" w:hAnsi="Times New Roman" w:cs="Times New Roman"/>
          <w:sz w:val="24"/>
          <w:szCs w:val="24"/>
        </w:rPr>
      </w:pPr>
    </w:p>
    <w:p w14:paraId="51EF8CF6" w14:textId="77777777" w:rsidR="00042CAC" w:rsidRDefault="00042CAC" w:rsidP="00042CAC">
      <w:pPr>
        <w:jc w:val="both"/>
        <w:rPr>
          <w:rFonts w:ascii="Times New Roman" w:hAnsi="Times New Roman" w:cs="Times New Roman"/>
          <w:sz w:val="24"/>
          <w:szCs w:val="24"/>
        </w:rPr>
      </w:pPr>
      <w:r>
        <w:rPr>
          <w:rFonts w:ascii="Times New Roman" w:hAnsi="Times New Roman" w:cs="Times New Roman"/>
          <w:sz w:val="24"/>
          <w:szCs w:val="24"/>
        </w:rPr>
        <w:br w:type="page"/>
      </w:r>
    </w:p>
    <w:p w14:paraId="6DFF90A8" w14:textId="77777777" w:rsidR="00042CAC" w:rsidRDefault="00042CAC" w:rsidP="00042CAC">
      <w:pPr>
        <w:jc w:val="both"/>
        <w:rPr>
          <w:rFonts w:ascii="Times New Roman" w:hAnsi="Times New Roman" w:cs="Times New Roman"/>
          <w:sz w:val="24"/>
          <w:szCs w:val="24"/>
        </w:rPr>
      </w:pPr>
    </w:p>
    <w:p w14:paraId="005D6E54" w14:textId="77777777" w:rsidR="00042CAC" w:rsidRPr="003752A4" w:rsidRDefault="00042CAC" w:rsidP="00042CAC">
      <w:pPr>
        <w:jc w:val="both"/>
        <w:rPr>
          <w:rFonts w:ascii="Times New Roman" w:hAnsi="Times New Roman" w:cs="Times New Roman"/>
          <w:sz w:val="24"/>
          <w:szCs w:val="24"/>
        </w:rPr>
      </w:pPr>
    </w:p>
    <w:p w14:paraId="79E00E00" w14:textId="77777777" w:rsidR="00E8336E" w:rsidRDefault="00E8336E"/>
    <w:sectPr w:rsidR="00E8336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2CAC"/>
    <w:rsid w:val="00042CAC"/>
    <w:rsid w:val="002B2074"/>
    <w:rsid w:val="002F3A78"/>
    <w:rsid w:val="003F1D9C"/>
    <w:rsid w:val="00477A89"/>
    <w:rsid w:val="006B5A97"/>
    <w:rsid w:val="00B53453"/>
    <w:rsid w:val="00DE4C4F"/>
    <w:rsid w:val="00E8336E"/>
    <w:rsid w:val="00F21A0A"/>
    <w:rsid w:val="00FD5B9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3E853"/>
  <w15:chartTrackingRefBased/>
  <w15:docId w15:val="{377E3B01-FCB5-4F8E-A119-C4E40251F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042CAC"/>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extkomentraChar">
    <w:name w:val="Text komentára Char"/>
    <w:basedOn w:val="Predvolenpsmoodseku"/>
    <w:link w:val="Textkomentra"/>
    <w:uiPriority w:val="99"/>
    <w:semiHidden/>
    <w:rsid w:val="00042CAC"/>
    <w:rPr>
      <w:sz w:val="20"/>
      <w:szCs w:val="20"/>
    </w:rPr>
  </w:style>
  <w:style w:type="paragraph" w:styleId="Textkomentra">
    <w:name w:val="annotation text"/>
    <w:basedOn w:val="Normlny"/>
    <w:link w:val="TextkomentraChar"/>
    <w:uiPriority w:val="99"/>
    <w:semiHidden/>
    <w:unhideWhenUsed/>
    <w:rsid w:val="00042CAC"/>
    <w:pPr>
      <w:spacing w:line="240" w:lineRule="auto"/>
    </w:pPr>
    <w:rPr>
      <w:sz w:val="20"/>
      <w:szCs w:val="20"/>
    </w:rPr>
  </w:style>
  <w:style w:type="paragraph" w:styleId="Odsekzoznamu">
    <w:name w:val="List Paragraph"/>
    <w:basedOn w:val="Normlny"/>
    <w:uiPriority w:val="34"/>
    <w:qFormat/>
    <w:rsid w:val="00042CAC"/>
    <w:pPr>
      <w:ind w:left="720"/>
      <w:contextualSpacing/>
    </w:pPr>
  </w:style>
  <w:style w:type="character" w:customStyle="1" w:styleId="Zkladntext2Char">
    <w:name w:val="Základný text 2 Char"/>
    <w:basedOn w:val="Predvolenpsmoodseku"/>
    <w:link w:val="Zkladntext2"/>
    <w:semiHidden/>
    <w:rsid w:val="00042CAC"/>
    <w:rPr>
      <w:rFonts w:ascii="Times New Roman" w:eastAsia="Times New Roman" w:hAnsi="Times New Roman" w:cs="Times New Roman"/>
      <w:sz w:val="24"/>
      <w:szCs w:val="24"/>
      <w:lang w:eastAsia="sk-SK"/>
    </w:rPr>
  </w:style>
  <w:style w:type="paragraph" w:styleId="Zkladntext2">
    <w:name w:val="Body Text 2"/>
    <w:basedOn w:val="Normlny"/>
    <w:link w:val="Zkladntext2Char"/>
    <w:semiHidden/>
    <w:unhideWhenUsed/>
    <w:rsid w:val="00042CAC"/>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table" w:styleId="Mriekatabuky">
    <w:name w:val="Table Grid"/>
    <w:basedOn w:val="Normlnatabuka"/>
    <w:uiPriority w:val="39"/>
    <w:rsid w:val="00042C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edmetkomentraChar">
    <w:name w:val="Predmet komentára Char"/>
    <w:basedOn w:val="TextkomentraChar"/>
    <w:link w:val="Predmetkomentra"/>
    <w:uiPriority w:val="99"/>
    <w:semiHidden/>
    <w:rsid w:val="00042CAC"/>
    <w:rPr>
      <w:b/>
      <w:bCs/>
      <w:sz w:val="20"/>
      <w:szCs w:val="20"/>
    </w:rPr>
  </w:style>
  <w:style w:type="paragraph" w:styleId="Predmetkomentra">
    <w:name w:val="annotation subject"/>
    <w:basedOn w:val="Textkomentra"/>
    <w:next w:val="Textkomentra"/>
    <w:link w:val="PredmetkomentraChar"/>
    <w:uiPriority w:val="99"/>
    <w:semiHidden/>
    <w:unhideWhenUsed/>
    <w:rsid w:val="00042CAC"/>
    <w:rPr>
      <w:b/>
      <w:bCs/>
    </w:rPr>
  </w:style>
  <w:style w:type="character" w:customStyle="1" w:styleId="PredmetkomentraChar1">
    <w:name w:val="Predmet komentára Char1"/>
    <w:basedOn w:val="TextkomentraChar"/>
    <w:uiPriority w:val="99"/>
    <w:semiHidden/>
    <w:rsid w:val="00042CAC"/>
    <w:rPr>
      <w:b/>
      <w:bCs/>
      <w:sz w:val="20"/>
      <w:szCs w:val="20"/>
    </w:rPr>
  </w:style>
  <w:style w:type="character" w:customStyle="1" w:styleId="TextbublinyChar">
    <w:name w:val="Text bubliny Char"/>
    <w:basedOn w:val="Predvolenpsmoodseku"/>
    <w:link w:val="Textbubliny"/>
    <w:uiPriority w:val="99"/>
    <w:semiHidden/>
    <w:rsid w:val="00042CAC"/>
    <w:rPr>
      <w:rFonts w:ascii="Segoe UI" w:hAnsi="Segoe UI" w:cs="Segoe UI"/>
      <w:sz w:val="18"/>
      <w:szCs w:val="18"/>
    </w:rPr>
  </w:style>
  <w:style w:type="paragraph" w:styleId="Textbubliny">
    <w:name w:val="Balloon Text"/>
    <w:basedOn w:val="Normlny"/>
    <w:link w:val="TextbublinyChar"/>
    <w:uiPriority w:val="99"/>
    <w:semiHidden/>
    <w:unhideWhenUsed/>
    <w:rsid w:val="00042CAC"/>
    <w:pPr>
      <w:spacing w:after="0" w:line="240" w:lineRule="auto"/>
    </w:pPr>
    <w:rPr>
      <w:rFonts w:ascii="Segoe UI" w:hAnsi="Segoe UI" w:cs="Segoe UI"/>
      <w:sz w:val="18"/>
      <w:szCs w:val="18"/>
    </w:rPr>
  </w:style>
  <w:style w:type="character" w:styleId="Odkaznakomentr">
    <w:name w:val="annotation reference"/>
    <w:basedOn w:val="Predvolenpsmoodseku"/>
    <w:uiPriority w:val="99"/>
    <w:semiHidden/>
    <w:unhideWhenUsed/>
    <w:rsid w:val="002B2074"/>
    <w:rPr>
      <w:sz w:val="16"/>
      <w:szCs w:val="16"/>
    </w:rPr>
  </w:style>
  <w:style w:type="character" w:styleId="Hypertextovprepojenie">
    <w:name w:val="Hyperlink"/>
    <w:basedOn w:val="Predvolenpsmoodseku"/>
    <w:uiPriority w:val="99"/>
    <w:semiHidden/>
    <w:unhideWhenUsed/>
    <w:rsid w:val="002B207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4451</Words>
  <Characters>25377</Characters>
  <Application>Microsoft Office Word</Application>
  <DocSecurity>0</DocSecurity>
  <Lines>211</Lines>
  <Paragraphs>59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Baláž</dc:creator>
  <cp:keywords/>
  <dc:description/>
  <cp:lastModifiedBy>Ondrej Baláž</cp:lastModifiedBy>
  <cp:revision>7</cp:revision>
  <dcterms:created xsi:type="dcterms:W3CDTF">2022-02-01T10:10:00Z</dcterms:created>
  <dcterms:modified xsi:type="dcterms:W3CDTF">2022-02-06T21:55:00Z</dcterms:modified>
</cp:coreProperties>
</file>